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pacing w:val="-12"/>
          <w:sz w:val="32"/>
          <w:szCs w:val="32"/>
        </w:rPr>
      </w:pPr>
      <w:r>
        <w:rPr>
          <w:b/>
          <w:spacing w:val="-12"/>
          <w:sz w:val="32"/>
          <w:szCs w:val="32"/>
        </w:rPr>
        <w:t>Statistical Communiqué on the National Economy and Social Development of Beijing</w:t>
      </w:r>
      <w:r>
        <w:rPr>
          <w:rFonts w:hint="eastAsia"/>
          <w:b/>
          <w:spacing w:val="-12"/>
          <w:sz w:val="32"/>
          <w:szCs w:val="32"/>
          <w:lang w:val="en-US" w:eastAsia="zh-CN"/>
        </w:rPr>
        <w:t xml:space="preserve"> </w:t>
      </w:r>
      <w:r>
        <w:rPr>
          <w:rFonts w:hint="default"/>
          <w:b/>
          <w:spacing w:val="-12"/>
          <w:sz w:val="32"/>
          <w:szCs w:val="32"/>
          <w:lang w:val="en" w:eastAsia="zh-CN"/>
        </w:rPr>
        <w:t>in 2022</w:t>
      </w:r>
      <w:r>
        <w:rPr>
          <w:rStyle w:val="18"/>
          <w:b/>
          <w:spacing w:val="-12"/>
          <w:sz w:val="32"/>
          <w:szCs w:val="32"/>
        </w:rPr>
        <w:endnoteReference w:id="0" w:customMarkFollows="1"/>
        <w:t>[1]</w:t>
      </w:r>
    </w:p>
    <w:p>
      <w:pPr>
        <w:jc w:val="center"/>
        <w:rPr>
          <w:sz w:val="30"/>
          <w:szCs w:val="30"/>
        </w:rPr>
      </w:pPr>
      <w:r>
        <w:rPr>
          <w:sz w:val="30"/>
          <w:szCs w:val="30"/>
        </w:rPr>
        <w:t xml:space="preserve">Beijing Municipal Bureau of Statistics </w:t>
      </w:r>
    </w:p>
    <w:p>
      <w:pPr>
        <w:jc w:val="center"/>
        <w:rPr>
          <w:b/>
          <w:bCs/>
          <w:sz w:val="30"/>
          <w:szCs w:val="30"/>
        </w:rPr>
      </w:pPr>
      <w:r>
        <w:rPr>
          <w:sz w:val="30"/>
          <w:szCs w:val="30"/>
        </w:rPr>
        <w:t>NBS Survey Office in Beijing</w:t>
      </w:r>
    </w:p>
    <w:p>
      <w:pPr>
        <w:jc w:val="center"/>
        <w:rPr>
          <w:rFonts w:eastAsia="楷体_GB2312"/>
          <w:bCs/>
          <w:sz w:val="30"/>
          <w:szCs w:val="30"/>
        </w:rPr>
      </w:pPr>
      <w:r>
        <w:rPr>
          <w:rFonts w:hint="eastAsia"/>
          <w:sz w:val="30"/>
          <w:szCs w:val="30"/>
        </w:rPr>
        <w:t>March</w:t>
      </w:r>
      <w:r>
        <w:rPr>
          <w:sz w:val="30"/>
          <w:szCs w:val="30"/>
        </w:rPr>
        <w:t xml:space="preserve"> </w:t>
      </w:r>
      <w:r>
        <w:rPr>
          <w:rFonts w:hint="eastAsia"/>
          <w:sz w:val="30"/>
          <w:szCs w:val="30"/>
        </w:rPr>
        <w:t>202</w:t>
      </w:r>
      <w:r>
        <w:rPr>
          <w:sz w:val="30"/>
          <w:szCs w:val="30"/>
        </w:rPr>
        <w:t>3</w:t>
      </w:r>
    </w:p>
    <w:p>
      <w:pPr>
        <w:jc w:val="center"/>
        <w:rPr>
          <w:rFonts w:ascii="楷体_GB2312" w:eastAsia="楷体_GB2312"/>
          <w:bCs/>
          <w:sz w:val="28"/>
        </w:rPr>
      </w:pPr>
    </w:p>
    <w:p>
      <w:pPr>
        <w:rPr>
          <w:rFonts w:eastAsia="仿宋_GB2312"/>
          <w:sz w:val="28"/>
          <w:szCs w:val="28"/>
        </w:rPr>
      </w:pPr>
      <w:bookmarkStart w:id="0" w:name="_Toc379894706"/>
      <w:r>
        <w:rPr>
          <w:rFonts w:eastAsia="仿宋_GB2312"/>
          <w:sz w:val="28"/>
          <w:szCs w:val="28"/>
        </w:rPr>
        <w:t>In 2022, despite a harsh international environment, the “triple pressures” of domestic economic development, and the effects of unexpected circumstances such as the sporadic but frequent COVID-19 cases, new achievements were made in high-quality development of Beijing in the New Era. Under the strong leadership of the CPC Central Committee with Comrade Xi Jinping at the core, Beijing Municipality upheld Xi Jinping Thought on Socialism with Chinese Characteristics for a New Era, conscientiously studied, advocated and put into practice the guiding principles of the 20th CPC National Congress, and thoroughly implemented the guiding principles of General Secretary Xi Jinping’s series of important speeches on Beijing. Accordingly, we adhered to the underlying principle of pursuing progress while ensuring stability, consistently and efficiently balanced the COVID-19 prevention and control with the economic and social development by taking the development of Beijing in the New Era as the primary goal. We have kept working on the five aspects in tandem (i.e. turning Beijing into an international science and technology innovation center, vigorously developing the Integrated National Demonstration Zone for Opening up the Services Sector and the China (Beijing) Pilot Free Trade Zone, building Beijing into a digital benchmark city, driving new demands for development through supply-side structural reforms, and Beijing-Tianjin-Hebei coordinated development) to integrate into the new development pattern, put our best effort in stabilizing the economy, and effectively promoted improvement of living standards for the people.</w:t>
      </w:r>
    </w:p>
    <w:p>
      <w:pPr>
        <w:outlineLvl w:val="0"/>
        <w:rPr>
          <w:rFonts w:eastAsia="黑体"/>
          <w:b/>
          <w:sz w:val="28"/>
          <w:szCs w:val="28"/>
        </w:rPr>
      </w:pPr>
      <w:r>
        <w:rPr>
          <w:b/>
          <w:sz w:val="28"/>
          <w:szCs w:val="28"/>
        </w:rPr>
        <w:t>I. Overview</w:t>
      </w:r>
    </w:p>
    <w:p>
      <w:pPr>
        <w:rPr>
          <w:sz w:val="28"/>
          <w:szCs w:val="28"/>
        </w:rPr>
      </w:pPr>
      <w:r>
        <w:rPr>
          <w:b/>
          <w:sz w:val="28"/>
          <w:szCs w:val="28"/>
        </w:rPr>
        <w:t>Economic growth:</w:t>
      </w:r>
      <w:r>
        <w:rPr>
          <w:sz w:val="28"/>
          <w:szCs w:val="28"/>
        </w:rPr>
        <w:t xml:space="preserve"> Based on preliminary accounting, the gross domestic product (GDP) of Beijing hit RMB 4,161.09 billion in 20</w:t>
      </w:r>
      <w:r>
        <w:rPr>
          <w:rFonts w:hint="eastAsia"/>
          <w:sz w:val="28"/>
          <w:szCs w:val="28"/>
        </w:rPr>
        <w:t>2</w:t>
      </w:r>
      <w:r>
        <w:rPr>
          <w:sz w:val="28"/>
          <w:szCs w:val="28"/>
        </w:rPr>
        <w:t>2, up by 0.7% over the previous year at constant price. Of which the added value of the Primary Industry</w:t>
      </w:r>
      <w:r>
        <w:rPr>
          <w:rStyle w:val="18"/>
          <w:sz w:val="28"/>
          <w:szCs w:val="28"/>
        </w:rPr>
        <w:endnoteReference w:id="1" w:customMarkFollows="1"/>
        <w:t>[2]</w:t>
      </w:r>
      <w:r>
        <w:rPr>
          <w:sz w:val="28"/>
          <w:szCs w:val="28"/>
        </w:rPr>
        <w:t xml:space="preserve"> was RMB 11.15 billion with a decline of 1.6%, that of the Secondary Industry was RMB 660.51 billion with a decline of 11.4% and that of the Tertiary Industry was RMB 3,489.43 billion with a growth of 3.4%. The ratio of the Primary Industry, the </w:t>
      </w:r>
      <w:bookmarkStart w:id="1" w:name="OLE_LINK23"/>
      <w:bookmarkStart w:id="2" w:name="OLE_LINK22"/>
      <w:bookmarkStart w:id="3" w:name="OLE_LINK14"/>
      <w:bookmarkStart w:id="4" w:name="OLE_LINK20"/>
      <w:bookmarkStart w:id="5" w:name="OLE_LINK21"/>
      <w:r>
        <w:rPr>
          <w:sz w:val="28"/>
          <w:szCs w:val="28"/>
        </w:rPr>
        <w:t>Secondary Industry</w:t>
      </w:r>
      <w:bookmarkEnd w:id="1"/>
      <w:bookmarkEnd w:id="2"/>
      <w:bookmarkEnd w:id="3"/>
      <w:bookmarkEnd w:id="4"/>
      <w:bookmarkEnd w:id="5"/>
      <w:r>
        <w:rPr>
          <w:sz w:val="28"/>
          <w:szCs w:val="28"/>
        </w:rPr>
        <w:t xml:space="preserve"> and the Tertiary Industry </w:t>
      </w:r>
      <w:r>
        <w:rPr>
          <w:rFonts w:hint="eastAsia"/>
          <w:sz w:val="28"/>
          <w:szCs w:val="28"/>
        </w:rPr>
        <w:t>was</w:t>
      </w:r>
      <w:r>
        <w:rPr>
          <w:sz w:val="28"/>
          <w:szCs w:val="28"/>
        </w:rPr>
        <w:t xml:space="preserve"> 0.3</w:t>
      </w:r>
      <w:r>
        <w:rPr>
          <w:rFonts w:hint="eastAsia"/>
          <w:sz w:val="28"/>
          <w:szCs w:val="28"/>
        </w:rPr>
        <w:t>:</w:t>
      </w:r>
      <w:r>
        <w:rPr>
          <w:sz w:val="28"/>
          <w:szCs w:val="28"/>
        </w:rPr>
        <w:t>15</w:t>
      </w:r>
      <w:r>
        <w:rPr>
          <w:rFonts w:hint="eastAsia"/>
          <w:sz w:val="28"/>
          <w:szCs w:val="28"/>
        </w:rPr>
        <w:t>.</w:t>
      </w:r>
      <w:r>
        <w:rPr>
          <w:sz w:val="28"/>
          <w:szCs w:val="28"/>
        </w:rPr>
        <w:t>9</w:t>
      </w:r>
      <w:r>
        <w:rPr>
          <w:rFonts w:hint="eastAsia"/>
          <w:sz w:val="28"/>
          <w:szCs w:val="28"/>
        </w:rPr>
        <w:t>:</w:t>
      </w:r>
      <w:r>
        <w:rPr>
          <w:sz w:val="28"/>
          <w:szCs w:val="28"/>
        </w:rPr>
        <w:t>83.8</w:t>
      </w:r>
      <w:r>
        <w:rPr>
          <w:rFonts w:hint="eastAsia"/>
          <w:sz w:val="28"/>
          <w:szCs w:val="28"/>
        </w:rPr>
        <w:t xml:space="preserve">. </w:t>
      </w:r>
      <w:r>
        <w:rPr>
          <w:sz w:val="28"/>
          <w:szCs w:val="28"/>
        </w:rPr>
        <w:t xml:space="preserve">Calculated by permanent population, the per capita GDP of Beijing totaled RMB 190 thousands. </w:t>
      </w:r>
    </w:p>
    <w:p>
      <w:pPr>
        <w:jc w:val="center"/>
        <w:rPr>
          <w:b/>
          <w:sz w:val="28"/>
          <w:szCs w:val="28"/>
        </w:rPr>
      </w:pPr>
      <w:r>
        <w:rPr>
          <w:b/>
          <w:sz w:val="24"/>
        </w:rPr>
        <w:t>Table 1: GDP</w:t>
      </w:r>
      <w:r>
        <w:rPr>
          <w:rFonts w:hint="eastAsia"/>
          <w:b/>
          <w:sz w:val="24"/>
        </w:rPr>
        <w:t xml:space="preserve"> in 202</w:t>
      </w:r>
      <w:r>
        <w:rPr>
          <w:b/>
          <w:sz w:val="24"/>
        </w:rPr>
        <w:t>2</w:t>
      </w:r>
    </w:p>
    <w:tbl>
      <w:tblPr>
        <w:tblStyle w:val="14"/>
        <w:tblW w:w="4949"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23"/>
        <w:gridCol w:w="1478"/>
        <w:gridCol w:w="1457"/>
        <w:gridCol w:w="141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578" w:type="pct"/>
            <w:vAlign w:val="center"/>
          </w:tcPr>
          <w:p>
            <w:pPr>
              <w:widowControl/>
              <w:jc w:val="center"/>
              <w:rPr>
                <w:kern w:val="0"/>
                <w:szCs w:val="21"/>
              </w:rPr>
            </w:pPr>
            <w:r>
              <w:rPr>
                <w:kern w:val="0"/>
                <w:szCs w:val="21"/>
              </w:rPr>
              <w:t>Indicators</w:t>
            </w:r>
          </w:p>
        </w:tc>
        <w:tc>
          <w:tcPr>
            <w:tcW w:w="824" w:type="pct"/>
            <w:vAlign w:val="center"/>
          </w:tcPr>
          <w:p>
            <w:pPr>
              <w:widowControl/>
              <w:jc w:val="center"/>
              <w:rPr>
                <w:bCs/>
                <w:szCs w:val="21"/>
              </w:rPr>
            </w:pPr>
            <w:r>
              <w:rPr>
                <w:bCs/>
                <w:szCs w:val="21"/>
              </w:rPr>
              <w:t>Absolute volume</w:t>
            </w:r>
          </w:p>
          <w:p>
            <w:pPr>
              <w:widowControl/>
              <w:jc w:val="center"/>
              <w:rPr>
                <w:kern w:val="0"/>
                <w:szCs w:val="21"/>
              </w:rPr>
            </w:pPr>
            <w:r>
              <w:rPr>
                <w:bCs/>
                <w:szCs w:val="21"/>
              </w:rPr>
              <w:t>(RMB 100 million)</w:t>
            </w:r>
          </w:p>
        </w:tc>
        <w:tc>
          <w:tcPr>
            <w:tcW w:w="812" w:type="pct"/>
            <w:vAlign w:val="center"/>
          </w:tcPr>
          <w:p>
            <w:pPr>
              <w:widowControl/>
              <w:jc w:val="center"/>
              <w:rPr>
                <w:kern w:val="0"/>
                <w:szCs w:val="21"/>
              </w:rPr>
            </w:pPr>
            <w:r>
              <w:rPr>
                <w:kern w:val="0"/>
                <w:szCs w:val="21"/>
              </w:rPr>
              <w:t>Increase over the previous year (%)</w:t>
            </w:r>
          </w:p>
        </w:tc>
        <w:tc>
          <w:tcPr>
            <w:tcW w:w="783" w:type="pct"/>
            <w:vAlign w:val="center"/>
          </w:tcPr>
          <w:p>
            <w:pPr>
              <w:widowControl/>
              <w:jc w:val="center"/>
              <w:rPr>
                <w:kern w:val="0"/>
                <w:szCs w:val="21"/>
              </w:rPr>
            </w:pPr>
            <w:r>
              <w:rPr>
                <w:kern w:val="0"/>
                <w:szCs w:val="21"/>
              </w:rPr>
              <w:t>Proportion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8" w:type="pct"/>
            <w:vAlign w:val="center"/>
          </w:tcPr>
          <w:p>
            <w:pPr>
              <w:rPr>
                <w:bCs/>
                <w:szCs w:val="21"/>
              </w:rPr>
            </w:pPr>
            <w:r>
              <w:rPr>
                <w:szCs w:val="21"/>
              </w:rPr>
              <w:t>GDP</w:t>
            </w:r>
          </w:p>
        </w:tc>
        <w:tc>
          <w:tcPr>
            <w:tcW w:w="824" w:type="pct"/>
            <w:noWrap/>
            <w:vAlign w:val="center"/>
          </w:tcPr>
          <w:p>
            <w:pPr>
              <w:wordWrap w:val="0"/>
              <w:ind w:right="210" w:rightChars="100"/>
              <w:jc w:val="right"/>
              <w:rPr>
                <w:bCs/>
                <w:szCs w:val="21"/>
              </w:rPr>
            </w:pPr>
            <w:r>
              <w:rPr>
                <w:bCs/>
                <w:szCs w:val="21"/>
              </w:rPr>
              <w:t>41610.9</w:t>
            </w:r>
          </w:p>
        </w:tc>
        <w:tc>
          <w:tcPr>
            <w:tcW w:w="812" w:type="pct"/>
            <w:vAlign w:val="center"/>
          </w:tcPr>
          <w:p>
            <w:pPr>
              <w:wordWrap w:val="0"/>
              <w:ind w:right="210" w:rightChars="100"/>
              <w:jc w:val="right"/>
              <w:rPr>
                <w:bCs/>
                <w:szCs w:val="21"/>
              </w:rPr>
            </w:pPr>
            <w:r>
              <w:rPr>
                <w:bCs/>
                <w:szCs w:val="21"/>
              </w:rPr>
              <w:t>0.7</w:t>
            </w:r>
          </w:p>
        </w:tc>
        <w:tc>
          <w:tcPr>
            <w:tcW w:w="783" w:type="pct"/>
            <w:noWrap/>
            <w:vAlign w:val="center"/>
          </w:tcPr>
          <w:p>
            <w:pPr>
              <w:wordWrap w:val="0"/>
              <w:ind w:right="210" w:rightChars="100"/>
              <w:jc w:val="right"/>
              <w:rPr>
                <w:bCs/>
                <w:szCs w:val="21"/>
              </w:rPr>
            </w:pPr>
            <w:r>
              <w:rPr>
                <w:bCs/>
                <w:szCs w:val="21"/>
              </w:rPr>
              <w:t>100.0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4"/>
            <w:vAlign w:val="center"/>
          </w:tcPr>
          <w:p>
            <w:pPr>
              <w:jc w:val="left"/>
              <w:rPr>
                <w:bCs/>
                <w:szCs w:val="21"/>
              </w:rPr>
            </w:pPr>
            <w:r>
              <w:rPr>
                <w:szCs w:val="21"/>
              </w:rPr>
              <w:t>Grouped by Industry</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8" w:type="pct"/>
            <w:vAlign w:val="center"/>
          </w:tcPr>
          <w:p>
            <w:pPr>
              <w:ind w:firstLine="105" w:firstLineChars="50"/>
              <w:rPr>
                <w:szCs w:val="21"/>
              </w:rPr>
            </w:pPr>
            <w:r>
              <w:rPr>
                <w:szCs w:val="21"/>
              </w:rPr>
              <w:t>Primary Industry</w:t>
            </w:r>
          </w:p>
        </w:tc>
        <w:tc>
          <w:tcPr>
            <w:tcW w:w="824" w:type="pct"/>
            <w:noWrap/>
            <w:vAlign w:val="center"/>
          </w:tcPr>
          <w:p>
            <w:pPr>
              <w:wordWrap w:val="0"/>
              <w:ind w:right="210" w:rightChars="100"/>
              <w:jc w:val="right"/>
              <w:rPr>
                <w:szCs w:val="21"/>
              </w:rPr>
            </w:pPr>
            <w:r>
              <w:rPr>
                <w:szCs w:val="21"/>
              </w:rPr>
              <w:t>111.5</w:t>
            </w:r>
          </w:p>
        </w:tc>
        <w:tc>
          <w:tcPr>
            <w:tcW w:w="812" w:type="pct"/>
            <w:vAlign w:val="center"/>
          </w:tcPr>
          <w:p>
            <w:pPr>
              <w:wordWrap w:val="0"/>
              <w:ind w:right="210" w:rightChars="100"/>
              <w:jc w:val="right"/>
              <w:rPr>
                <w:bCs/>
                <w:szCs w:val="21"/>
              </w:rPr>
            </w:pPr>
            <w:r>
              <w:rPr>
                <w:bCs/>
                <w:szCs w:val="21"/>
              </w:rPr>
              <w:t>-1.6</w:t>
            </w:r>
          </w:p>
        </w:tc>
        <w:tc>
          <w:tcPr>
            <w:tcW w:w="783" w:type="pct"/>
            <w:noWrap/>
            <w:vAlign w:val="center"/>
          </w:tcPr>
          <w:p>
            <w:pPr>
              <w:wordWrap w:val="0"/>
              <w:ind w:right="210" w:rightChars="100"/>
              <w:jc w:val="right"/>
              <w:rPr>
                <w:bCs/>
                <w:szCs w:val="21"/>
              </w:rPr>
            </w:pPr>
            <w:r>
              <w:rPr>
                <w:bCs/>
                <w:szCs w:val="21"/>
              </w:rPr>
              <w:t>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8" w:type="pct"/>
            <w:vAlign w:val="center"/>
          </w:tcPr>
          <w:p>
            <w:pPr>
              <w:ind w:firstLine="105" w:firstLineChars="50"/>
              <w:rPr>
                <w:szCs w:val="21"/>
              </w:rPr>
            </w:pPr>
            <w:r>
              <w:rPr>
                <w:szCs w:val="21"/>
              </w:rPr>
              <w:t>Secondary Industry</w:t>
            </w:r>
          </w:p>
        </w:tc>
        <w:tc>
          <w:tcPr>
            <w:tcW w:w="824" w:type="pct"/>
            <w:noWrap/>
            <w:vAlign w:val="center"/>
          </w:tcPr>
          <w:p>
            <w:pPr>
              <w:wordWrap w:val="0"/>
              <w:ind w:right="210" w:rightChars="100"/>
              <w:jc w:val="right"/>
              <w:rPr>
                <w:szCs w:val="21"/>
              </w:rPr>
            </w:pPr>
            <w:r>
              <w:rPr>
                <w:szCs w:val="21"/>
              </w:rPr>
              <w:t>6605.1</w:t>
            </w:r>
          </w:p>
        </w:tc>
        <w:tc>
          <w:tcPr>
            <w:tcW w:w="812" w:type="pct"/>
            <w:vAlign w:val="center"/>
          </w:tcPr>
          <w:p>
            <w:pPr>
              <w:wordWrap w:val="0"/>
              <w:ind w:right="210" w:rightChars="100"/>
              <w:jc w:val="right"/>
              <w:rPr>
                <w:bCs/>
                <w:szCs w:val="21"/>
              </w:rPr>
            </w:pPr>
            <w:r>
              <w:rPr>
                <w:bCs/>
                <w:szCs w:val="21"/>
              </w:rPr>
              <w:t>-11.4</w:t>
            </w:r>
          </w:p>
        </w:tc>
        <w:tc>
          <w:tcPr>
            <w:tcW w:w="783" w:type="pct"/>
            <w:noWrap/>
            <w:vAlign w:val="center"/>
          </w:tcPr>
          <w:p>
            <w:pPr>
              <w:wordWrap w:val="0"/>
              <w:ind w:right="210" w:rightChars="100"/>
              <w:jc w:val="right"/>
              <w:rPr>
                <w:bCs/>
                <w:szCs w:val="21"/>
              </w:rPr>
            </w:pPr>
            <w:r>
              <w:rPr>
                <w:bCs/>
                <w:szCs w:val="21"/>
              </w:rPr>
              <w:t>15.9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8" w:type="pct"/>
            <w:vAlign w:val="center"/>
          </w:tcPr>
          <w:p>
            <w:pPr>
              <w:ind w:firstLine="105" w:firstLineChars="50"/>
              <w:rPr>
                <w:szCs w:val="21"/>
              </w:rPr>
            </w:pPr>
            <w:r>
              <w:rPr>
                <w:szCs w:val="21"/>
              </w:rPr>
              <w:t>Tertiary Industry</w:t>
            </w:r>
          </w:p>
        </w:tc>
        <w:tc>
          <w:tcPr>
            <w:tcW w:w="824" w:type="pct"/>
            <w:noWrap/>
            <w:vAlign w:val="center"/>
          </w:tcPr>
          <w:p>
            <w:pPr>
              <w:wordWrap w:val="0"/>
              <w:ind w:right="210" w:rightChars="100"/>
              <w:jc w:val="right"/>
              <w:rPr>
                <w:szCs w:val="21"/>
              </w:rPr>
            </w:pPr>
            <w:r>
              <w:rPr>
                <w:szCs w:val="21"/>
              </w:rPr>
              <w:t>34894.3</w:t>
            </w:r>
          </w:p>
        </w:tc>
        <w:tc>
          <w:tcPr>
            <w:tcW w:w="812" w:type="pct"/>
            <w:vAlign w:val="center"/>
          </w:tcPr>
          <w:p>
            <w:pPr>
              <w:wordWrap w:val="0"/>
              <w:ind w:right="210" w:rightChars="100"/>
              <w:jc w:val="right"/>
              <w:rPr>
                <w:bCs/>
                <w:szCs w:val="21"/>
              </w:rPr>
            </w:pPr>
            <w:r>
              <w:rPr>
                <w:bCs/>
                <w:szCs w:val="21"/>
              </w:rPr>
              <w:t>3.4</w:t>
            </w:r>
          </w:p>
        </w:tc>
        <w:tc>
          <w:tcPr>
            <w:tcW w:w="783" w:type="pct"/>
            <w:noWrap/>
            <w:vAlign w:val="center"/>
          </w:tcPr>
          <w:p>
            <w:pPr>
              <w:wordWrap w:val="0"/>
              <w:ind w:right="210" w:rightChars="100"/>
              <w:jc w:val="right"/>
              <w:rPr>
                <w:bCs/>
                <w:szCs w:val="21"/>
              </w:rPr>
            </w:pPr>
            <w:r>
              <w:rPr>
                <w:bCs/>
                <w:szCs w:val="21"/>
              </w:rPr>
              <w:t>83.8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4"/>
            <w:vAlign w:val="center"/>
          </w:tcPr>
          <w:p>
            <w:pPr>
              <w:jc w:val="left"/>
              <w:rPr>
                <w:bCs/>
                <w:szCs w:val="21"/>
              </w:rPr>
            </w:pPr>
            <w:r>
              <w:rPr>
                <w:szCs w:val="21"/>
              </w:rPr>
              <w:t>Grouped by Sector</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8" w:type="pct"/>
            <w:vAlign w:val="center"/>
          </w:tcPr>
          <w:p>
            <w:pPr>
              <w:ind w:left="210" w:leftChars="50" w:hanging="105" w:hangingChars="50"/>
              <w:rPr>
                <w:szCs w:val="21"/>
              </w:rPr>
            </w:pPr>
            <w:r>
              <w:rPr>
                <w:szCs w:val="21"/>
              </w:rPr>
              <w:t>Agriculture, Forestry, Animal Production and Hunting, Fishing</w:t>
            </w:r>
          </w:p>
        </w:tc>
        <w:tc>
          <w:tcPr>
            <w:tcW w:w="824" w:type="pct"/>
            <w:noWrap/>
            <w:vAlign w:val="center"/>
          </w:tcPr>
          <w:p>
            <w:pPr>
              <w:wordWrap w:val="0"/>
              <w:ind w:right="210" w:rightChars="100"/>
              <w:jc w:val="right"/>
              <w:rPr>
                <w:szCs w:val="21"/>
              </w:rPr>
            </w:pPr>
            <w:r>
              <w:rPr>
                <w:szCs w:val="21"/>
              </w:rPr>
              <w:t>113.1</w:t>
            </w:r>
          </w:p>
        </w:tc>
        <w:tc>
          <w:tcPr>
            <w:tcW w:w="812" w:type="pct"/>
            <w:vAlign w:val="center"/>
          </w:tcPr>
          <w:p>
            <w:pPr>
              <w:wordWrap w:val="0"/>
              <w:ind w:right="210" w:rightChars="100"/>
              <w:jc w:val="right"/>
              <w:rPr>
                <w:bCs/>
                <w:szCs w:val="21"/>
              </w:rPr>
            </w:pPr>
            <w:r>
              <w:rPr>
                <w:bCs/>
                <w:szCs w:val="21"/>
              </w:rPr>
              <w:t>-1.8</w:t>
            </w:r>
          </w:p>
        </w:tc>
        <w:tc>
          <w:tcPr>
            <w:tcW w:w="783" w:type="pct"/>
            <w:noWrap/>
            <w:vAlign w:val="center"/>
          </w:tcPr>
          <w:p>
            <w:pPr>
              <w:wordWrap w:val="0"/>
              <w:ind w:right="210" w:rightChars="100"/>
              <w:jc w:val="right"/>
              <w:rPr>
                <w:bCs/>
                <w:szCs w:val="21"/>
              </w:rPr>
            </w:pPr>
            <w:r>
              <w:rPr>
                <w:bCs/>
                <w:szCs w:val="21"/>
              </w:rPr>
              <w:t>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8" w:type="pct"/>
            <w:vAlign w:val="center"/>
          </w:tcPr>
          <w:p>
            <w:pPr>
              <w:ind w:firstLine="105" w:firstLineChars="50"/>
              <w:rPr>
                <w:szCs w:val="21"/>
              </w:rPr>
            </w:pPr>
            <w:r>
              <w:rPr>
                <w:szCs w:val="21"/>
              </w:rPr>
              <w:t>Industry</w:t>
            </w:r>
          </w:p>
        </w:tc>
        <w:tc>
          <w:tcPr>
            <w:tcW w:w="824" w:type="pct"/>
            <w:noWrap/>
            <w:vAlign w:val="center"/>
          </w:tcPr>
          <w:p>
            <w:pPr>
              <w:wordWrap w:val="0"/>
              <w:ind w:right="210" w:rightChars="100"/>
              <w:jc w:val="right"/>
              <w:rPr>
                <w:szCs w:val="21"/>
              </w:rPr>
            </w:pPr>
            <w:r>
              <w:rPr>
                <w:szCs w:val="21"/>
              </w:rPr>
              <w:t>5036.4</w:t>
            </w:r>
          </w:p>
        </w:tc>
        <w:tc>
          <w:tcPr>
            <w:tcW w:w="812" w:type="pct"/>
            <w:vAlign w:val="center"/>
          </w:tcPr>
          <w:p>
            <w:pPr>
              <w:wordWrap w:val="0"/>
              <w:ind w:right="210" w:rightChars="100"/>
              <w:jc w:val="right"/>
              <w:rPr>
                <w:bCs/>
                <w:szCs w:val="21"/>
              </w:rPr>
            </w:pPr>
            <w:r>
              <w:rPr>
                <w:bCs/>
                <w:szCs w:val="21"/>
              </w:rPr>
              <w:t>-14.6</w:t>
            </w:r>
          </w:p>
        </w:tc>
        <w:tc>
          <w:tcPr>
            <w:tcW w:w="783" w:type="pct"/>
            <w:noWrap/>
            <w:vAlign w:val="center"/>
          </w:tcPr>
          <w:p>
            <w:pPr>
              <w:wordWrap w:val="0"/>
              <w:ind w:right="210" w:rightChars="100"/>
              <w:jc w:val="right"/>
              <w:rPr>
                <w:bCs/>
                <w:szCs w:val="21"/>
              </w:rPr>
            </w:pPr>
            <w:r>
              <w:rPr>
                <w:bCs/>
                <w:szCs w:val="21"/>
              </w:rPr>
              <w:t>12.1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8" w:type="pct"/>
            <w:vAlign w:val="center"/>
          </w:tcPr>
          <w:p>
            <w:pPr>
              <w:ind w:firstLine="105" w:firstLineChars="50"/>
              <w:rPr>
                <w:szCs w:val="21"/>
              </w:rPr>
            </w:pPr>
            <w:r>
              <w:rPr>
                <w:szCs w:val="21"/>
              </w:rPr>
              <w:t>Construction</w:t>
            </w:r>
          </w:p>
        </w:tc>
        <w:tc>
          <w:tcPr>
            <w:tcW w:w="824" w:type="pct"/>
            <w:noWrap/>
            <w:vAlign w:val="center"/>
          </w:tcPr>
          <w:p>
            <w:pPr>
              <w:wordWrap w:val="0"/>
              <w:ind w:right="210" w:rightChars="100"/>
              <w:jc w:val="right"/>
              <w:rPr>
                <w:szCs w:val="21"/>
              </w:rPr>
            </w:pPr>
            <w:r>
              <w:rPr>
                <w:szCs w:val="21"/>
              </w:rPr>
              <w:t>1614.2</w:t>
            </w:r>
          </w:p>
        </w:tc>
        <w:tc>
          <w:tcPr>
            <w:tcW w:w="812" w:type="pct"/>
            <w:vAlign w:val="center"/>
          </w:tcPr>
          <w:p>
            <w:pPr>
              <w:wordWrap w:val="0"/>
              <w:ind w:right="210" w:rightChars="100"/>
              <w:jc w:val="right"/>
              <w:rPr>
                <w:bCs/>
                <w:szCs w:val="21"/>
              </w:rPr>
            </w:pPr>
            <w:r>
              <w:rPr>
                <w:bCs/>
                <w:szCs w:val="21"/>
              </w:rPr>
              <w:t>0.1</w:t>
            </w:r>
          </w:p>
        </w:tc>
        <w:tc>
          <w:tcPr>
            <w:tcW w:w="783" w:type="pct"/>
            <w:noWrap/>
            <w:vAlign w:val="center"/>
          </w:tcPr>
          <w:p>
            <w:pPr>
              <w:wordWrap w:val="0"/>
              <w:ind w:right="210" w:rightChars="100"/>
              <w:jc w:val="right"/>
              <w:rPr>
                <w:bCs/>
                <w:szCs w:val="21"/>
              </w:rPr>
            </w:pPr>
            <w:r>
              <w:rPr>
                <w:bCs/>
                <w:szCs w:val="21"/>
              </w:rPr>
              <w:t>3.9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8" w:type="pct"/>
            <w:vAlign w:val="center"/>
          </w:tcPr>
          <w:p>
            <w:pPr>
              <w:ind w:firstLine="105" w:firstLineChars="50"/>
              <w:rPr>
                <w:szCs w:val="21"/>
              </w:rPr>
            </w:pPr>
            <w:r>
              <w:rPr>
                <w:szCs w:val="21"/>
              </w:rPr>
              <w:t>Wholesale and Retail Trades</w:t>
            </w:r>
          </w:p>
        </w:tc>
        <w:tc>
          <w:tcPr>
            <w:tcW w:w="824" w:type="pct"/>
            <w:noWrap/>
            <w:vAlign w:val="center"/>
          </w:tcPr>
          <w:p>
            <w:pPr>
              <w:wordWrap w:val="0"/>
              <w:ind w:right="210" w:rightChars="100"/>
              <w:jc w:val="right"/>
              <w:rPr>
                <w:szCs w:val="21"/>
              </w:rPr>
            </w:pPr>
            <w:r>
              <w:rPr>
                <w:szCs w:val="21"/>
              </w:rPr>
              <w:t>3110.3</w:t>
            </w:r>
          </w:p>
        </w:tc>
        <w:tc>
          <w:tcPr>
            <w:tcW w:w="812" w:type="pct"/>
            <w:vAlign w:val="center"/>
          </w:tcPr>
          <w:p>
            <w:pPr>
              <w:wordWrap w:val="0"/>
              <w:ind w:right="210" w:rightChars="100"/>
              <w:jc w:val="right"/>
              <w:rPr>
                <w:bCs/>
                <w:szCs w:val="21"/>
              </w:rPr>
            </w:pPr>
            <w:r>
              <w:rPr>
                <w:bCs/>
                <w:szCs w:val="21"/>
              </w:rPr>
              <w:t>-1.1</w:t>
            </w:r>
          </w:p>
        </w:tc>
        <w:tc>
          <w:tcPr>
            <w:tcW w:w="783" w:type="pct"/>
            <w:noWrap/>
            <w:vAlign w:val="center"/>
          </w:tcPr>
          <w:p>
            <w:pPr>
              <w:wordWrap w:val="0"/>
              <w:ind w:right="210" w:rightChars="100"/>
              <w:jc w:val="right"/>
              <w:rPr>
                <w:bCs/>
                <w:szCs w:val="21"/>
              </w:rPr>
            </w:pPr>
            <w:r>
              <w:rPr>
                <w:bCs/>
                <w:szCs w:val="21"/>
              </w:rPr>
              <w:t>7.5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8" w:type="pct"/>
            <w:vAlign w:val="center"/>
          </w:tcPr>
          <w:p>
            <w:pPr>
              <w:ind w:firstLine="105" w:firstLineChars="50"/>
              <w:rPr>
                <w:szCs w:val="21"/>
              </w:rPr>
            </w:pPr>
            <w:r>
              <w:rPr>
                <w:szCs w:val="21"/>
              </w:rPr>
              <w:t>Transport, Storage and Post</w:t>
            </w:r>
          </w:p>
        </w:tc>
        <w:tc>
          <w:tcPr>
            <w:tcW w:w="824" w:type="pct"/>
            <w:noWrap/>
            <w:vAlign w:val="center"/>
          </w:tcPr>
          <w:p>
            <w:pPr>
              <w:wordWrap w:val="0"/>
              <w:ind w:right="210" w:rightChars="100"/>
              <w:jc w:val="right"/>
              <w:rPr>
                <w:szCs w:val="21"/>
              </w:rPr>
            </w:pPr>
            <w:r>
              <w:rPr>
                <w:szCs w:val="21"/>
              </w:rPr>
              <w:t>879.2</w:t>
            </w:r>
          </w:p>
        </w:tc>
        <w:tc>
          <w:tcPr>
            <w:tcW w:w="812" w:type="pct"/>
            <w:vAlign w:val="center"/>
          </w:tcPr>
          <w:p>
            <w:pPr>
              <w:wordWrap w:val="0"/>
              <w:ind w:right="210" w:rightChars="100"/>
              <w:jc w:val="right"/>
              <w:rPr>
                <w:bCs/>
                <w:szCs w:val="21"/>
              </w:rPr>
            </w:pPr>
            <w:r>
              <w:rPr>
                <w:bCs/>
                <w:szCs w:val="21"/>
              </w:rPr>
              <w:t>-4.6</w:t>
            </w:r>
          </w:p>
        </w:tc>
        <w:tc>
          <w:tcPr>
            <w:tcW w:w="783" w:type="pct"/>
            <w:noWrap/>
            <w:vAlign w:val="center"/>
          </w:tcPr>
          <w:p>
            <w:pPr>
              <w:wordWrap w:val="0"/>
              <w:ind w:right="210" w:rightChars="100"/>
              <w:jc w:val="right"/>
              <w:rPr>
                <w:bCs/>
                <w:szCs w:val="21"/>
              </w:rPr>
            </w:pPr>
            <w:r>
              <w:rPr>
                <w:bCs/>
                <w:szCs w:val="21"/>
              </w:rPr>
              <w:t>2.1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8" w:type="pct"/>
            <w:vAlign w:val="center"/>
          </w:tcPr>
          <w:p>
            <w:pPr>
              <w:ind w:firstLine="105" w:firstLineChars="50"/>
              <w:rPr>
                <w:szCs w:val="21"/>
              </w:rPr>
            </w:pPr>
            <w:r>
              <w:rPr>
                <w:szCs w:val="21"/>
              </w:rPr>
              <w:t>Accommodation and Restaurants</w:t>
            </w:r>
          </w:p>
        </w:tc>
        <w:tc>
          <w:tcPr>
            <w:tcW w:w="824" w:type="pct"/>
            <w:noWrap/>
            <w:vAlign w:val="center"/>
          </w:tcPr>
          <w:p>
            <w:pPr>
              <w:wordWrap w:val="0"/>
              <w:ind w:right="210" w:rightChars="100"/>
              <w:jc w:val="right"/>
              <w:rPr>
                <w:szCs w:val="21"/>
              </w:rPr>
            </w:pPr>
            <w:r>
              <w:rPr>
                <w:szCs w:val="21"/>
              </w:rPr>
              <w:t>372.6</w:t>
            </w:r>
          </w:p>
        </w:tc>
        <w:tc>
          <w:tcPr>
            <w:tcW w:w="812" w:type="pct"/>
            <w:vAlign w:val="center"/>
          </w:tcPr>
          <w:p>
            <w:pPr>
              <w:wordWrap w:val="0"/>
              <w:ind w:right="210" w:rightChars="100"/>
              <w:jc w:val="right"/>
              <w:rPr>
                <w:bCs/>
                <w:szCs w:val="21"/>
              </w:rPr>
            </w:pPr>
            <w:r>
              <w:rPr>
                <w:bCs/>
                <w:szCs w:val="21"/>
              </w:rPr>
              <w:t>-13.7</w:t>
            </w:r>
          </w:p>
        </w:tc>
        <w:tc>
          <w:tcPr>
            <w:tcW w:w="783" w:type="pct"/>
            <w:noWrap/>
            <w:vAlign w:val="center"/>
          </w:tcPr>
          <w:p>
            <w:pPr>
              <w:wordWrap w:val="0"/>
              <w:ind w:right="210" w:rightChars="100"/>
              <w:jc w:val="right"/>
              <w:rPr>
                <w:bCs/>
                <w:szCs w:val="21"/>
              </w:rPr>
            </w:pPr>
            <w:r>
              <w:rPr>
                <w:bCs/>
                <w:szCs w:val="21"/>
              </w:rPr>
              <w:t>0.9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8" w:type="pct"/>
            <w:vAlign w:val="center"/>
          </w:tcPr>
          <w:p>
            <w:pPr>
              <w:ind w:firstLine="105" w:firstLineChars="50"/>
              <w:rPr>
                <w:szCs w:val="21"/>
              </w:rPr>
            </w:pPr>
            <w:r>
              <w:rPr>
                <w:szCs w:val="21"/>
              </w:rPr>
              <w:t xml:space="preserve">Information Transmission, Software and </w:t>
            </w:r>
          </w:p>
          <w:p>
            <w:pPr>
              <w:spacing w:line="240" w:lineRule="exact"/>
              <w:ind w:firstLine="210" w:firstLineChars="100"/>
              <w:rPr>
                <w:szCs w:val="21"/>
              </w:rPr>
            </w:pPr>
            <w:r>
              <w:rPr>
                <w:szCs w:val="21"/>
              </w:rPr>
              <w:t>Information Technology Services</w:t>
            </w:r>
          </w:p>
        </w:tc>
        <w:tc>
          <w:tcPr>
            <w:tcW w:w="824" w:type="pct"/>
            <w:noWrap/>
            <w:vAlign w:val="center"/>
          </w:tcPr>
          <w:p>
            <w:pPr>
              <w:wordWrap w:val="0"/>
              <w:ind w:right="210" w:rightChars="100"/>
              <w:jc w:val="right"/>
              <w:rPr>
                <w:szCs w:val="21"/>
              </w:rPr>
            </w:pPr>
            <w:r>
              <w:rPr>
                <w:szCs w:val="21"/>
              </w:rPr>
              <w:t>7456.2</w:t>
            </w:r>
          </w:p>
        </w:tc>
        <w:tc>
          <w:tcPr>
            <w:tcW w:w="812" w:type="pct"/>
            <w:vAlign w:val="center"/>
          </w:tcPr>
          <w:p>
            <w:pPr>
              <w:wordWrap w:val="0"/>
              <w:ind w:right="210" w:rightChars="100"/>
              <w:jc w:val="right"/>
              <w:rPr>
                <w:bCs/>
                <w:szCs w:val="21"/>
              </w:rPr>
            </w:pPr>
            <w:r>
              <w:rPr>
                <w:bCs/>
                <w:szCs w:val="21"/>
              </w:rPr>
              <w:t>9.8</w:t>
            </w:r>
          </w:p>
        </w:tc>
        <w:tc>
          <w:tcPr>
            <w:tcW w:w="783" w:type="pct"/>
            <w:noWrap/>
            <w:vAlign w:val="center"/>
          </w:tcPr>
          <w:p>
            <w:pPr>
              <w:wordWrap w:val="0"/>
              <w:ind w:right="210" w:rightChars="100"/>
              <w:jc w:val="right"/>
              <w:rPr>
                <w:bCs/>
                <w:szCs w:val="21"/>
              </w:rPr>
            </w:pPr>
            <w:r>
              <w:rPr>
                <w:bCs/>
                <w:szCs w:val="21"/>
              </w:rPr>
              <w:t>17.9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8" w:type="pct"/>
            <w:vAlign w:val="center"/>
          </w:tcPr>
          <w:p>
            <w:pPr>
              <w:ind w:firstLine="105" w:firstLineChars="50"/>
              <w:rPr>
                <w:szCs w:val="21"/>
              </w:rPr>
            </w:pPr>
            <w:r>
              <w:rPr>
                <w:szCs w:val="21"/>
              </w:rPr>
              <w:t>Finance</w:t>
            </w:r>
          </w:p>
        </w:tc>
        <w:tc>
          <w:tcPr>
            <w:tcW w:w="824" w:type="pct"/>
            <w:noWrap/>
            <w:vAlign w:val="center"/>
          </w:tcPr>
          <w:p>
            <w:pPr>
              <w:wordWrap w:val="0"/>
              <w:ind w:right="210" w:rightChars="100"/>
              <w:jc w:val="right"/>
              <w:rPr>
                <w:szCs w:val="21"/>
              </w:rPr>
            </w:pPr>
            <w:r>
              <w:rPr>
                <w:szCs w:val="21"/>
              </w:rPr>
              <w:t>8196.7</w:t>
            </w:r>
          </w:p>
        </w:tc>
        <w:tc>
          <w:tcPr>
            <w:tcW w:w="812" w:type="pct"/>
            <w:vAlign w:val="center"/>
          </w:tcPr>
          <w:p>
            <w:pPr>
              <w:wordWrap w:val="0"/>
              <w:ind w:right="210" w:rightChars="100"/>
              <w:jc w:val="right"/>
              <w:rPr>
                <w:bCs/>
                <w:szCs w:val="21"/>
              </w:rPr>
            </w:pPr>
            <w:r>
              <w:rPr>
                <w:bCs/>
                <w:szCs w:val="21"/>
              </w:rPr>
              <w:t>6.4</w:t>
            </w:r>
          </w:p>
        </w:tc>
        <w:tc>
          <w:tcPr>
            <w:tcW w:w="783" w:type="pct"/>
            <w:noWrap/>
            <w:vAlign w:val="center"/>
          </w:tcPr>
          <w:p>
            <w:pPr>
              <w:wordWrap w:val="0"/>
              <w:ind w:right="210" w:rightChars="100"/>
              <w:jc w:val="right"/>
              <w:rPr>
                <w:bCs/>
                <w:szCs w:val="21"/>
              </w:rPr>
            </w:pPr>
            <w:r>
              <w:rPr>
                <w:bCs/>
                <w:szCs w:val="21"/>
              </w:rPr>
              <w:t>19.7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8" w:type="pct"/>
            <w:vAlign w:val="center"/>
          </w:tcPr>
          <w:p>
            <w:pPr>
              <w:ind w:firstLine="105" w:firstLineChars="50"/>
              <w:rPr>
                <w:szCs w:val="21"/>
              </w:rPr>
            </w:pPr>
            <w:r>
              <w:rPr>
                <w:szCs w:val="21"/>
              </w:rPr>
              <w:t>Real Estate</w:t>
            </w:r>
          </w:p>
        </w:tc>
        <w:tc>
          <w:tcPr>
            <w:tcW w:w="824" w:type="pct"/>
            <w:noWrap/>
            <w:vAlign w:val="center"/>
          </w:tcPr>
          <w:p>
            <w:pPr>
              <w:wordWrap w:val="0"/>
              <w:ind w:right="210" w:rightChars="100"/>
              <w:jc w:val="right"/>
              <w:rPr>
                <w:szCs w:val="21"/>
              </w:rPr>
            </w:pPr>
            <w:r>
              <w:rPr>
                <w:szCs w:val="21"/>
              </w:rPr>
              <w:t>2594.5</w:t>
            </w:r>
          </w:p>
        </w:tc>
        <w:tc>
          <w:tcPr>
            <w:tcW w:w="812" w:type="pct"/>
            <w:vAlign w:val="center"/>
          </w:tcPr>
          <w:p>
            <w:pPr>
              <w:wordWrap w:val="0"/>
              <w:ind w:right="210" w:rightChars="100"/>
              <w:jc w:val="right"/>
              <w:rPr>
                <w:bCs/>
                <w:szCs w:val="21"/>
              </w:rPr>
            </w:pPr>
            <w:r>
              <w:rPr>
                <w:bCs/>
                <w:szCs w:val="21"/>
              </w:rPr>
              <w:t>-1.2</w:t>
            </w:r>
          </w:p>
        </w:tc>
        <w:tc>
          <w:tcPr>
            <w:tcW w:w="783" w:type="pct"/>
            <w:noWrap/>
            <w:vAlign w:val="center"/>
          </w:tcPr>
          <w:p>
            <w:pPr>
              <w:wordWrap w:val="0"/>
              <w:ind w:right="210" w:rightChars="100"/>
              <w:jc w:val="right"/>
              <w:rPr>
                <w:bCs/>
                <w:szCs w:val="21"/>
              </w:rPr>
            </w:pPr>
            <w:r>
              <w:rPr>
                <w:bCs/>
                <w:szCs w:val="21"/>
              </w:rPr>
              <w:t>6.2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8" w:type="pct"/>
            <w:vAlign w:val="center"/>
          </w:tcPr>
          <w:p>
            <w:pPr>
              <w:ind w:firstLine="105" w:firstLineChars="50"/>
              <w:rPr>
                <w:szCs w:val="21"/>
              </w:rPr>
            </w:pPr>
            <w:r>
              <w:rPr>
                <w:szCs w:val="21"/>
              </w:rPr>
              <w:t xml:space="preserve">Renting and Leasing Activities and </w:t>
            </w:r>
          </w:p>
          <w:p>
            <w:pPr>
              <w:widowControl/>
              <w:ind w:firstLine="210" w:firstLineChars="100"/>
              <w:rPr>
                <w:kern w:val="0"/>
                <w:szCs w:val="21"/>
              </w:rPr>
            </w:pPr>
            <w:r>
              <w:rPr>
                <w:szCs w:val="21"/>
              </w:rPr>
              <w:t>Business Services</w:t>
            </w:r>
          </w:p>
        </w:tc>
        <w:tc>
          <w:tcPr>
            <w:tcW w:w="824" w:type="pct"/>
            <w:noWrap/>
            <w:vAlign w:val="center"/>
          </w:tcPr>
          <w:p>
            <w:pPr>
              <w:wordWrap w:val="0"/>
              <w:ind w:right="210" w:rightChars="100"/>
              <w:jc w:val="right"/>
              <w:rPr>
                <w:szCs w:val="21"/>
              </w:rPr>
            </w:pPr>
            <w:r>
              <w:rPr>
                <w:szCs w:val="21"/>
              </w:rPr>
              <w:t>2581.4</w:t>
            </w:r>
          </w:p>
        </w:tc>
        <w:tc>
          <w:tcPr>
            <w:tcW w:w="812" w:type="pct"/>
            <w:vAlign w:val="center"/>
          </w:tcPr>
          <w:p>
            <w:pPr>
              <w:wordWrap w:val="0"/>
              <w:ind w:right="210" w:rightChars="100"/>
              <w:jc w:val="right"/>
              <w:rPr>
                <w:bCs/>
                <w:szCs w:val="21"/>
              </w:rPr>
            </w:pPr>
            <w:r>
              <w:rPr>
                <w:bCs/>
                <w:szCs w:val="21"/>
              </w:rPr>
              <w:t>-1.3</w:t>
            </w:r>
          </w:p>
        </w:tc>
        <w:tc>
          <w:tcPr>
            <w:tcW w:w="783" w:type="pct"/>
            <w:noWrap/>
            <w:vAlign w:val="center"/>
          </w:tcPr>
          <w:p>
            <w:pPr>
              <w:wordWrap w:val="0"/>
              <w:ind w:right="210" w:rightChars="100"/>
              <w:jc w:val="right"/>
              <w:rPr>
                <w:bCs/>
                <w:szCs w:val="21"/>
              </w:rPr>
            </w:pPr>
            <w:r>
              <w:rPr>
                <w:bCs/>
                <w:szCs w:val="21"/>
              </w:rPr>
              <w:t>6.2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8" w:type="pct"/>
            <w:vAlign w:val="center"/>
          </w:tcPr>
          <w:p>
            <w:pPr>
              <w:ind w:firstLine="105" w:firstLineChars="50"/>
              <w:rPr>
                <w:szCs w:val="21"/>
              </w:rPr>
            </w:pPr>
            <w:r>
              <w:rPr>
                <w:szCs w:val="21"/>
              </w:rPr>
              <w:t xml:space="preserve">Scientific Research and Development, </w:t>
            </w:r>
          </w:p>
          <w:p>
            <w:pPr>
              <w:widowControl/>
              <w:ind w:firstLine="210" w:firstLineChars="100"/>
              <w:rPr>
                <w:kern w:val="0"/>
                <w:szCs w:val="21"/>
              </w:rPr>
            </w:pPr>
            <w:r>
              <w:rPr>
                <w:szCs w:val="21"/>
              </w:rPr>
              <w:t>Technical Services</w:t>
            </w:r>
          </w:p>
        </w:tc>
        <w:tc>
          <w:tcPr>
            <w:tcW w:w="824" w:type="pct"/>
            <w:noWrap/>
            <w:vAlign w:val="center"/>
          </w:tcPr>
          <w:p>
            <w:pPr>
              <w:wordWrap w:val="0"/>
              <w:ind w:right="210" w:rightChars="100"/>
              <w:jc w:val="right"/>
              <w:rPr>
                <w:szCs w:val="21"/>
              </w:rPr>
            </w:pPr>
            <w:r>
              <w:rPr>
                <w:szCs w:val="21"/>
              </w:rPr>
              <w:t>3465.0</w:t>
            </w:r>
          </w:p>
        </w:tc>
        <w:tc>
          <w:tcPr>
            <w:tcW w:w="812" w:type="pct"/>
            <w:vAlign w:val="center"/>
          </w:tcPr>
          <w:p>
            <w:pPr>
              <w:wordWrap w:val="0"/>
              <w:ind w:right="210" w:rightChars="100"/>
              <w:jc w:val="right"/>
              <w:rPr>
                <w:bCs/>
                <w:szCs w:val="21"/>
              </w:rPr>
            </w:pPr>
            <w:r>
              <w:rPr>
                <w:bCs/>
                <w:szCs w:val="21"/>
              </w:rPr>
              <w:t>1.8</w:t>
            </w:r>
          </w:p>
        </w:tc>
        <w:tc>
          <w:tcPr>
            <w:tcW w:w="783" w:type="pct"/>
            <w:noWrap/>
            <w:vAlign w:val="center"/>
          </w:tcPr>
          <w:p>
            <w:pPr>
              <w:wordWrap w:val="0"/>
              <w:ind w:right="210" w:rightChars="100"/>
              <w:jc w:val="right"/>
              <w:rPr>
                <w:bCs/>
                <w:szCs w:val="21"/>
              </w:rPr>
            </w:pPr>
            <w:r>
              <w:rPr>
                <w:bCs/>
                <w:szCs w:val="21"/>
              </w:rPr>
              <w:t>8.3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8" w:type="pct"/>
            <w:vAlign w:val="center"/>
          </w:tcPr>
          <w:p>
            <w:pPr>
              <w:ind w:firstLine="105" w:firstLineChars="50"/>
              <w:rPr>
                <w:szCs w:val="21"/>
              </w:rPr>
            </w:pPr>
            <w:r>
              <w:rPr>
                <w:szCs w:val="21"/>
              </w:rPr>
              <w:t xml:space="preserve">Management of Water Conservancy, </w:t>
            </w:r>
          </w:p>
          <w:p>
            <w:pPr>
              <w:widowControl/>
              <w:spacing w:line="240" w:lineRule="exact"/>
              <w:ind w:firstLine="210" w:firstLineChars="100"/>
              <w:rPr>
                <w:kern w:val="0"/>
                <w:szCs w:val="21"/>
              </w:rPr>
            </w:pPr>
            <w:r>
              <w:rPr>
                <w:szCs w:val="21"/>
              </w:rPr>
              <w:t>Environment and Public Facilities</w:t>
            </w:r>
          </w:p>
        </w:tc>
        <w:tc>
          <w:tcPr>
            <w:tcW w:w="824" w:type="pct"/>
            <w:noWrap/>
            <w:vAlign w:val="center"/>
          </w:tcPr>
          <w:p>
            <w:pPr>
              <w:wordWrap w:val="0"/>
              <w:ind w:right="210" w:rightChars="100"/>
              <w:jc w:val="right"/>
              <w:rPr>
                <w:szCs w:val="21"/>
              </w:rPr>
            </w:pPr>
            <w:r>
              <w:rPr>
                <w:szCs w:val="21"/>
              </w:rPr>
              <w:t>304.5</w:t>
            </w:r>
          </w:p>
        </w:tc>
        <w:tc>
          <w:tcPr>
            <w:tcW w:w="812" w:type="pct"/>
            <w:vAlign w:val="center"/>
          </w:tcPr>
          <w:p>
            <w:pPr>
              <w:wordWrap w:val="0"/>
              <w:ind w:right="210" w:rightChars="100"/>
              <w:jc w:val="right"/>
              <w:rPr>
                <w:bCs/>
                <w:szCs w:val="21"/>
              </w:rPr>
            </w:pPr>
            <w:r>
              <w:rPr>
                <w:bCs/>
                <w:szCs w:val="21"/>
              </w:rPr>
              <w:t>1.5</w:t>
            </w:r>
          </w:p>
        </w:tc>
        <w:tc>
          <w:tcPr>
            <w:tcW w:w="783" w:type="pct"/>
            <w:noWrap/>
            <w:vAlign w:val="center"/>
          </w:tcPr>
          <w:p>
            <w:pPr>
              <w:wordWrap w:val="0"/>
              <w:ind w:right="210" w:rightChars="100"/>
              <w:jc w:val="right"/>
              <w:rPr>
                <w:bCs/>
                <w:szCs w:val="21"/>
              </w:rPr>
            </w:pPr>
            <w:r>
              <w:rPr>
                <w:bCs/>
                <w:szCs w:val="21"/>
              </w:rPr>
              <w:t>0.7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8" w:type="pct"/>
            <w:vAlign w:val="center"/>
          </w:tcPr>
          <w:p>
            <w:pPr>
              <w:ind w:firstLine="105" w:firstLineChars="50"/>
              <w:rPr>
                <w:szCs w:val="21"/>
              </w:rPr>
            </w:pPr>
            <w:r>
              <w:rPr>
                <w:szCs w:val="21"/>
              </w:rPr>
              <w:t xml:space="preserve">Resident Services, Repair and Other </w:t>
            </w:r>
          </w:p>
          <w:p>
            <w:pPr>
              <w:widowControl/>
              <w:spacing w:line="240" w:lineRule="exact"/>
              <w:ind w:firstLine="210" w:firstLineChars="100"/>
              <w:rPr>
                <w:kern w:val="0"/>
                <w:szCs w:val="21"/>
              </w:rPr>
            </w:pPr>
            <w:r>
              <w:rPr>
                <w:szCs w:val="21"/>
              </w:rPr>
              <w:t>Services</w:t>
            </w:r>
          </w:p>
        </w:tc>
        <w:tc>
          <w:tcPr>
            <w:tcW w:w="824" w:type="pct"/>
            <w:noWrap/>
            <w:vAlign w:val="center"/>
          </w:tcPr>
          <w:p>
            <w:pPr>
              <w:wordWrap w:val="0"/>
              <w:ind w:right="210" w:rightChars="100"/>
              <w:jc w:val="right"/>
              <w:rPr>
                <w:szCs w:val="21"/>
              </w:rPr>
            </w:pPr>
            <w:r>
              <w:rPr>
                <w:szCs w:val="21"/>
              </w:rPr>
              <w:t>200.7</w:t>
            </w:r>
          </w:p>
        </w:tc>
        <w:tc>
          <w:tcPr>
            <w:tcW w:w="812" w:type="pct"/>
            <w:vAlign w:val="center"/>
          </w:tcPr>
          <w:p>
            <w:pPr>
              <w:wordWrap w:val="0"/>
              <w:ind w:right="210" w:rightChars="100"/>
              <w:jc w:val="right"/>
              <w:rPr>
                <w:bCs/>
                <w:szCs w:val="21"/>
              </w:rPr>
            </w:pPr>
            <w:r>
              <w:rPr>
                <w:bCs/>
                <w:szCs w:val="21"/>
              </w:rPr>
              <w:t>-2.4</w:t>
            </w:r>
          </w:p>
        </w:tc>
        <w:tc>
          <w:tcPr>
            <w:tcW w:w="783" w:type="pct"/>
            <w:noWrap/>
            <w:vAlign w:val="center"/>
          </w:tcPr>
          <w:p>
            <w:pPr>
              <w:wordWrap w:val="0"/>
              <w:ind w:right="210" w:rightChars="100"/>
              <w:jc w:val="right"/>
              <w:rPr>
                <w:bCs/>
                <w:szCs w:val="21"/>
              </w:rPr>
            </w:pPr>
            <w:r>
              <w:rPr>
                <w:bCs/>
                <w:szCs w:val="21"/>
              </w:rPr>
              <w:t>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8" w:type="pct"/>
            <w:vAlign w:val="center"/>
          </w:tcPr>
          <w:p>
            <w:pPr>
              <w:widowControl/>
              <w:ind w:firstLine="105" w:firstLineChars="50"/>
              <w:rPr>
                <w:kern w:val="0"/>
                <w:szCs w:val="21"/>
              </w:rPr>
            </w:pPr>
            <w:r>
              <w:rPr>
                <w:szCs w:val="21"/>
              </w:rPr>
              <w:t>Education</w:t>
            </w:r>
          </w:p>
        </w:tc>
        <w:tc>
          <w:tcPr>
            <w:tcW w:w="824" w:type="pct"/>
            <w:noWrap/>
            <w:vAlign w:val="center"/>
          </w:tcPr>
          <w:p>
            <w:pPr>
              <w:wordWrap w:val="0"/>
              <w:ind w:right="210" w:rightChars="100"/>
              <w:jc w:val="right"/>
              <w:rPr>
                <w:szCs w:val="21"/>
              </w:rPr>
            </w:pPr>
            <w:r>
              <w:rPr>
                <w:szCs w:val="21"/>
              </w:rPr>
              <w:t>1927.4</w:t>
            </w:r>
          </w:p>
        </w:tc>
        <w:tc>
          <w:tcPr>
            <w:tcW w:w="812" w:type="pct"/>
            <w:vAlign w:val="center"/>
          </w:tcPr>
          <w:p>
            <w:pPr>
              <w:wordWrap w:val="0"/>
              <w:ind w:right="210" w:rightChars="100"/>
              <w:jc w:val="right"/>
              <w:rPr>
                <w:bCs/>
                <w:szCs w:val="21"/>
              </w:rPr>
            </w:pPr>
            <w:r>
              <w:rPr>
                <w:bCs/>
                <w:szCs w:val="21"/>
              </w:rPr>
              <w:t>-2.9</w:t>
            </w:r>
          </w:p>
        </w:tc>
        <w:tc>
          <w:tcPr>
            <w:tcW w:w="783" w:type="pct"/>
            <w:noWrap/>
            <w:vAlign w:val="center"/>
          </w:tcPr>
          <w:p>
            <w:pPr>
              <w:wordWrap w:val="0"/>
              <w:ind w:right="210" w:rightChars="100"/>
              <w:jc w:val="right"/>
              <w:rPr>
                <w:bCs/>
                <w:szCs w:val="21"/>
              </w:rPr>
            </w:pPr>
            <w:r>
              <w:rPr>
                <w:bCs/>
                <w:szCs w:val="21"/>
              </w:rPr>
              <w:t>4.6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8" w:type="pct"/>
            <w:vAlign w:val="center"/>
          </w:tcPr>
          <w:p>
            <w:pPr>
              <w:widowControl/>
              <w:ind w:firstLine="105" w:firstLineChars="50"/>
              <w:rPr>
                <w:kern w:val="0"/>
                <w:szCs w:val="21"/>
              </w:rPr>
            </w:pPr>
            <w:r>
              <w:rPr>
                <w:szCs w:val="21"/>
              </w:rPr>
              <w:t>Health Care and Social Works</w:t>
            </w:r>
          </w:p>
        </w:tc>
        <w:tc>
          <w:tcPr>
            <w:tcW w:w="824" w:type="pct"/>
            <w:noWrap/>
            <w:vAlign w:val="center"/>
          </w:tcPr>
          <w:p>
            <w:pPr>
              <w:wordWrap w:val="0"/>
              <w:ind w:right="210" w:rightChars="100"/>
              <w:jc w:val="right"/>
              <w:rPr>
                <w:szCs w:val="21"/>
              </w:rPr>
            </w:pPr>
            <w:r>
              <w:rPr>
                <w:szCs w:val="21"/>
              </w:rPr>
              <w:t>1260.1</w:t>
            </w:r>
          </w:p>
        </w:tc>
        <w:tc>
          <w:tcPr>
            <w:tcW w:w="812" w:type="pct"/>
            <w:vAlign w:val="center"/>
          </w:tcPr>
          <w:p>
            <w:pPr>
              <w:wordWrap w:val="0"/>
              <w:ind w:right="210" w:rightChars="100"/>
              <w:jc w:val="right"/>
              <w:rPr>
                <w:bCs/>
                <w:szCs w:val="21"/>
              </w:rPr>
            </w:pPr>
            <w:r>
              <w:rPr>
                <w:bCs/>
                <w:szCs w:val="21"/>
              </w:rPr>
              <w:t>13.7</w:t>
            </w:r>
          </w:p>
        </w:tc>
        <w:tc>
          <w:tcPr>
            <w:tcW w:w="783" w:type="pct"/>
            <w:noWrap/>
            <w:vAlign w:val="center"/>
          </w:tcPr>
          <w:p>
            <w:pPr>
              <w:wordWrap w:val="0"/>
              <w:ind w:right="210" w:rightChars="100"/>
              <w:jc w:val="right"/>
              <w:rPr>
                <w:bCs/>
                <w:szCs w:val="21"/>
              </w:rPr>
            </w:pPr>
            <w:r>
              <w:rPr>
                <w:bCs/>
                <w:szCs w:val="21"/>
              </w:rPr>
              <w:t>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8" w:type="pct"/>
            <w:vAlign w:val="center"/>
          </w:tcPr>
          <w:p>
            <w:pPr>
              <w:widowControl/>
              <w:ind w:firstLine="105" w:firstLineChars="50"/>
              <w:rPr>
                <w:kern w:val="0"/>
                <w:szCs w:val="21"/>
              </w:rPr>
            </w:pPr>
            <w:r>
              <w:rPr>
                <w:szCs w:val="21"/>
              </w:rPr>
              <w:t>Culture, Sports and Entertainment</w:t>
            </w:r>
          </w:p>
        </w:tc>
        <w:tc>
          <w:tcPr>
            <w:tcW w:w="824" w:type="pct"/>
            <w:noWrap/>
            <w:vAlign w:val="center"/>
          </w:tcPr>
          <w:p>
            <w:pPr>
              <w:wordWrap w:val="0"/>
              <w:ind w:right="210" w:rightChars="100"/>
              <w:jc w:val="right"/>
              <w:rPr>
                <w:szCs w:val="21"/>
              </w:rPr>
            </w:pPr>
            <w:r>
              <w:rPr>
                <w:szCs w:val="21"/>
              </w:rPr>
              <w:t>784.3</w:t>
            </w:r>
          </w:p>
        </w:tc>
        <w:tc>
          <w:tcPr>
            <w:tcW w:w="812" w:type="pct"/>
            <w:vAlign w:val="center"/>
          </w:tcPr>
          <w:p>
            <w:pPr>
              <w:wordWrap w:val="0"/>
              <w:ind w:right="210" w:rightChars="100"/>
              <w:jc w:val="right"/>
              <w:rPr>
                <w:bCs/>
                <w:szCs w:val="21"/>
              </w:rPr>
            </w:pPr>
            <w:r>
              <w:rPr>
                <w:bCs/>
                <w:szCs w:val="21"/>
              </w:rPr>
              <w:t>-2.2</w:t>
            </w:r>
          </w:p>
        </w:tc>
        <w:tc>
          <w:tcPr>
            <w:tcW w:w="783" w:type="pct"/>
            <w:noWrap/>
            <w:vAlign w:val="center"/>
          </w:tcPr>
          <w:p>
            <w:pPr>
              <w:wordWrap w:val="0"/>
              <w:ind w:right="210" w:rightChars="100"/>
              <w:jc w:val="right"/>
              <w:rPr>
                <w:bCs/>
                <w:szCs w:val="21"/>
              </w:rPr>
            </w:pPr>
            <w:r>
              <w:rPr>
                <w:bCs/>
                <w:szCs w:val="21"/>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8" w:type="pct"/>
            <w:vAlign w:val="center"/>
          </w:tcPr>
          <w:p>
            <w:pPr>
              <w:ind w:firstLine="105" w:firstLineChars="50"/>
              <w:rPr>
                <w:szCs w:val="21"/>
              </w:rPr>
            </w:pPr>
            <w:r>
              <w:rPr>
                <w:szCs w:val="21"/>
              </w:rPr>
              <w:t xml:space="preserve">Public Administration, Social Security </w:t>
            </w:r>
          </w:p>
          <w:p>
            <w:pPr>
              <w:widowControl/>
              <w:spacing w:line="240" w:lineRule="exact"/>
              <w:ind w:firstLine="210" w:firstLineChars="100"/>
              <w:rPr>
                <w:kern w:val="0"/>
                <w:szCs w:val="21"/>
              </w:rPr>
            </w:pPr>
            <w:r>
              <w:rPr>
                <w:szCs w:val="21"/>
              </w:rPr>
              <w:t>and Social Organizations</w:t>
            </w:r>
          </w:p>
        </w:tc>
        <w:tc>
          <w:tcPr>
            <w:tcW w:w="824" w:type="pct"/>
            <w:noWrap/>
            <w:vAlign w:val="center"/>
          </w:tcPr>
          <w:p>
            <w:pPr>
              <w:wordWrap w:val="0"/>
              <w:ind w:right="210" w:rightChars="100"/>
              <w:jc w:val="right"/>
              <w:rPr>
                <w:szCs w:val="21"/>
              </w:rPr>
            </w:pPr>
            <w:r>
              <w:rPr>
                <w:szCs w:val="21"/>
              </w:rPr>
              <w:t>1714.1</w:t>
            </w:r>
          </w:p>
        </w:tc>
        <w:tc>
          <w:tcPr>
            <w:tcW w:w="812" w:type="pct"/>
            <w:vAlign w:val="center"/>
          </w:tcPr>
          <w:p>
            <w:pPr>
              <w:wordWrap w:val="0"/>
              <w:ind w:right="210" w:rightChars="100"/>
              <w:jc w:val="right"/>
              <w:rPr>
                <w:bCs/>
                <w:szCs w:val="21"/>
              </w:rPr>
            </w:pPr>
            <w:r>
              <w:rPr>
                <w:bCs/>
                <w:szCs w:val="21"/>
              </w:rPr>
              <w:t>3.5</w:t>
            </w:r>
          </w:p>
        </w:tc>
        <w:tc>
          <w:tcPr>
            <w:tcW w:w="783" w:type="pct"/>
            <w:noWrap/>
            <w:vAlign w:val="center"/>
          </w:tcPr>
          <w:p>
            <w:pPr>
              <w:wordWrap w:val="0"/>
              <w:ind w:right="210" w:rightChars="100"/>
              <w:jc w:val="right"/>
              <w:rPr>
                <w:bCs/>
                <w:szCs w:val="21"/>
              </w:rPr>
            </w:pPr>
            <w:r>
              <w:rPr>
                <w:bCs/>
                <w:szCs w:val="21"/>
              </w:rPr>
              <w:t>4.1</w:t>
            </w:r>
          </w:p>
        </w:tc>
      </w:tr>
    </w:tbl>
    <w:p>
      <w:pPr>
        <w:jc w:val="center"/>
        <w:rPr>
          <w:b/>
          <w:sz w:val="24"/>
        </w:rPr>
      </w:pPr>
    </w:p>
    <w:p>
      <w:pPr>
        <w:jc w:val="center"/>
        <w:rPr>
          <w:b/>
          <w:sz w:val="24"/>
        </w:rPr>
      </w:pPr>
      <w:r>
        <w:rPr>
          <w:b/>
          <w:sz w:val="24"/>
        </w:rPr>
        <w:t xml:space="preserve">Figure </w:t>
      </w:r>
      <w:r>
        <w:rPr>
          <w:rFonts w:hint="eastAsia"/>
          <w:b/>
          <w:sz w:val="24"/>
        </w:rPr>
        <w:t>1</w:t>
      </w:r>
      <w:r>
        <w:rPr>
          <w:b/>
          <w:sz w:val="24"/>
        </w:rPr>
        <w:t xml:space="preserve">: Gross Domestic Product and Growth Rates </w:t>
      </w:r>
      <w:r>
        <w:rPr>
          <w:rFonts w:hint="eastAsia"/>
          <w:b/>
          <w:sz w:val="24"/>
        </w:rPr>
        <w:t>from 201</w:t>
      </w:r>
      <w:r>
        <w:rPr>
          <w:b/>
          <w:sz w:val="24"/>
        </w:rPr>
        <w:t>8</w:t>
      </w:r>
      <w:r>
        <w:rPr>
          <w:rFonts w:hint="eastAsia"/>
          <w:b/>
          <w:sz w:val="24"/>
        </w:rPr>
        <w:t xml:space="preserve"> to 202</w:t>
      </w:r>
      <w:r>
        <w:rPr>
          <w:b/>
          <w:sz w:val="24"/>
        </w:rPr>
        <w:t>2</w:t>
      </w:r>
    </w:p>
    <w:bookmarkEnd w:id="0"/>
    <w:p>
      <w:pPr>
        <w:jc w:val="center"/>
        <w:rPr>
          <w:b/>
          <w:sz w:val="28"/>
          <w:szCs w:val="28"/>
        </w:rPr>
      </w:pPr>
      <w:r>
        <w:drawing>
          <wp:inline distT="0" distB="0" distL="0" distR="0">
            <wp:extent cx="5383530" cy="2590800"/>
            <wp:effectExtent l="0" t="0" r="762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rPr>
          <w:sz w:val="28"/>
          <w:szCs w:val="28"/>
        </w:rPr>
      </w:pPr>
      <w:r>
        <w:rPr>
          <w:b/>
          <w:sz w:val="28"/>
          <w:szCs w:val="28"/>
        </w:rPr>
        <w:t>Population and Employment</w:t>
      </w:r>
      <w:r>
        <w:rPr>
          <w:sz w:val="28"/>
          <w:szCs w:val="28"/>
        </w:rPr>
        <w:t>: At the end of 2022, the perma</w:t>
      </w:r>
      <w:r>
        <w:rPr>
          <w:color w:val="auto"/>
          <w:sz w:val="28"/>
          <w:szCs w:val="28"/>
          <w:shd w:val="clear" w:color="auto" w:fill="auto"/>
        </w:rPr>
        <w:t>nent population</w:t>
      </w:r>
      <w:r>
        <w:rPr>
          <w:rStyle w:val="18"/>
          <w:color w:val="auto"/>
          <w:sz w:val="28"/>
          <w:szCs w:val="28"/>
          <w:shd w:val="clear" w:color="auto" w:fill="auto"/>
        </w:rPr>
        <w:endnoteReference w:id="2" w:customMarkFollows="1"/>
        <w:t>[3]</w:t>
      </w:r>
      <w:r>
        <w:rPr>
          <w:color w:val="auto"/>
          <w:sz w:val="28"/>
          <w:szCs w:val="28"/>
          <w:shd w:val="clear" w:color="auto" w:fill="auto"/>
        </w:rPr>
        <w:t xml:space="preserve"> was 21.843</w:t>
      </w:r>
      <w:r>
        <w:rPr>
          <w:sz w:val="28"/>
          <w:szCs w:val="28"/>
          <w:shd w:val="clear" w:color="auto" w:fill="auto"/>
        </w:rPr>
        <w:t xml:space="preserve"> </w:t>
      </w:r>
      <w:r>
        <w:rPr>
          <w:sz w:val="28"/>
          <w:szCs w:val="28"/>
        </w:rPr>
        <w:t>million, a decrease of 43 thousands</w:t>
      </w:r>
      <w:r>
        <w:rPr>
          <w:rFonts w:hint="eastAsia"/>
          <w:sz w:val="28"/>
          <w:szCs w:val="28"/>
        </w:rPr>
        <w:t xml:space="preserve"> over</w:t>
      </w:r>
      <w:r>
        <w:rPr>
          <w:sz w:val="28"/>
          <w:szCs w:val="28"/>
        </w:rPr>
        <w:t xml:space="preserve"> the end of the previous year. Of which, the urban population reached 19.128 million, accounting for 87.6% of the total permanent population; the migrant population was 8.251 million, accounting for 37.8% of the total permanent population. The birth rate of permanent population was 5.67‰, the death rate was 5.72‰, and </w:t>
      </w:r>
      <w:r>
        <w:rPr>
          <w:rFonts w:hint="eastAsia"/>
          <w:sz w:val="28"/>
          <w:szCs w:val="28"/>
        </w:rPr>
        <w:t xml:space="preserve">the </w:t>
      </w:r>
      <w:r>
        <w:rPr>
          <w:sz w:val="28"/>
          <w:szCs w:val="28"/>
        </w:rPr>
        <w:t>natural rate of growth was -0.05‰. Number of newly increased employment in urban regions in 20</w:t>
      </w:r>
      <w:r>
        <w:rPr>
          <w:rFonts w:hint="eastAsia"/>
          <w:sz w:val="28"/>
          <w:szCs w:val="28"/>
        </w:rPr>
        <w:t>2</w:t>
      </w:r>
      <w:r>
        <w:rPr>
          <w:sz w:val="28"/>
          <w:szCs w:val="28"/>
        </w:rPr>
        <w:t xml:space="preserve">2 hit </w:t>
      </w:r>
      <w:r>
        <w:rPr>
          <w:rFonts w:hint="eastAsia"/>
          <w:sz w:val="28"/>
          <w:szCs w:val="28"/>
        </w:rPr>
        <w:t>2</w:t>
      </w:r>
      <w:r>
        <w:rPr>
          <w:sz w:val="28"/>
          <w:szCs w:val="28"/>
        </w:rPr>
        <w:t>60</w:t>
      </w:r>
      <w:r>
        <w:rPr>
          <w:rFonts w:hint="eastAsia"/>
          <w:sz w:val="28"/>
          <w:szCs w:val="28"/>
        </w:rPr>
        <w:t xml:space="preserve"> thousands</w:t>
      </w:r>
      <w:r>
        <w:rPr>
          <w:sz w:val="28"/>
          <w:szCs w:val="28"/>
        </w:rPr>
        <w:t>. The average surveyed unemployment rate in 2022 was 4.7%, remaining within the annual regulation and control target.</w:t>
      </w:r>
    </w:p>
    <w:p>
      <w:pPr>
        <w:jc w:val="center"/>
        <w:rPr>
          <w:sz w:val="28"/>
          <w:szCs w:val="28"/>
        </w:rPr>
      </w:pPr>
      <w:r>
        <w:rPr>
          <w:b/>
          <w:sz w:val="24"/>
        </w:rPr>
        <w:t>Table 2: Population and Its Composition by the End of 2022</w:t>
      </w:r>
    </w:p>
    <w:tbl>
      <w:tblPr>
        <w:tblStyle w:val="14"/>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187"/>
        <w:gridCol w:w="2356"/>
        <w:gridCol w:w="151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862" w:type="pct"/>
            <w:vAlign w:val="center"/>
          </w:tcPr>
          <w:p>
            <w:pPr>
              <w:widowControl/>
              <w:jc w:val="center"/>
              <w:rPr>
                <w:kern w:val="0"/>
                <w:szCs w:val="21"/>
              </w:rPr>
            </w:pPr>
            <w:r>
              <w:rPr>
                <w:kern w:val="0"/>
                <w:szCs w:val="21"/>
              </w:rPr>
              <w:t>Indicators</w:t>
            </w:r>
          </w:p>
        </w:tc>
        <w:tc>
          <w:tcPr>
            <w:tcW w:w="1300" w:type="pct"/>
            <w:vAlign w:val="center"/>
          </w:tcPr>
          <w:p>
            <w:pPr>
              <w:widowControl/>
              <w:jc w:val="center"/>
              <w:rPr>
                <w:kern w:val="0"/>
                <w:szCs w:val="21"/>
              </w:rPr>
            </w:pPr>
            <w:r>
              <w:rPr>
                <w:rFonts w:hint="eastAsia"/>
                <w:kern w:val="0"/>
                <w:szCs w:val="21"/>
              </w:rPr>
              <w:t>P</w:t>
            </w:r>
            <w:r>
              <w:rPr>
                <w:kern w:val="0"/>
                <w:szCs w:val="21"/>
              </w:rPr>
              <w:t>opulation by the end of the year (10,000 persons)</w:t>
            </w:r>
          </w:p>
        </w:tc>
        <w:tc>
          <w:tcPr>
            <w:tcW w:w="837" w:type="pct"/>
            <w:vAlign w:val="center"/>
          </w:tcPr>
          <w:p>
            <w:pPr>
              <w:widowControl/>
              <w:jc w:val="center"/>
              <w:rPr>
                <w:kern w:val="0"/>
                <w:szCs w:val="21"/>
              </w:rPr>
            </w:pPr>
            <w:r>
              <w:rPr>
                <w:kern w:val="0"/>
                <w:szCs w:val="21"/>
              </w:rPr>
              <w:t xml:space="preserve">Proportion </w:t>
            </w:r>
          </w:p>
          <w:p>
            <w:pPr>
              <w:widowControl/>
              <w:jc w:val="center"/>
              <w:rPr>
                <w:kern w:val="0"/>
                <w:szCs w:val="21"/>
              </w:rPr>
            </w:pPr>
            <w:r>
              <w:rPr>
                <w:kern w:val="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62" w:type="pct"/>
            <w:vAlign w:val="center"/>
          </w:tcPr>
          <w:p>
            <w:pPr>
              <w:jc w:val="left"/>
              <w:rPr>
                <w:bCs/>
                <w:szCs w:val="21"/>
              </w:rPr>
            </w:pPr>
            <w:r>
              <w:rPr>
                <w:szCs w:val="21"/>
              </w:rPr>
              <w:t>Permanent Population</w:t>
            </w:r>
          </w:p>
        </w:tc>
        <w:tc>
          <w:tcPr>
            <w:tcW w:w="1300" w:type="pct"/>
            <w:noWrap/>
            <w:tcMar>
              <w:left w:w="0" w:type="dxa"/>
              <w:right w:w="567" w:type="dxa"/>
            </w:tcMar>
            <w:vAlign w:val="center"/>
          </w:tcPr>
          <w:p>
            <w:pPr>
              <w:jc w:val="right"/>
              <w:rPr>
                <w:bCs/>
                <w:szCs w:val="21"/>
              </w:rPr>
            </w:pPr>
            <w:r>
              <w:rPr>
                <w:rFonts w:hint="eastAsia"/>
                <w:bCs/>
                <w:szCs w:val="21"/>
              </w:rPr>
              <w:t>2</w:t>
            </w:r>
            <w:r>
              <w:rPr>
                <w:bCs/>
                <w:szCs w:val="21"/>
              </w:rPr>
              <w:t>184.3</w:t>
            </w:r>
          </w:p>
        </w:tc>
        <w:tc>
          <w:tcPr>
            <w:tcW w:w="837" w:type="pct"/>
            <w:noWrap/>
            <w:tcMar>
              <w:left w:w="0" w:type="dxa"/>
              <w:right w:w="567" w:type="dxa"/>
            </w:tcMar>
            <w:vAlign w:val="center"/>
          </w:tcPr>
          <w:p>
            <w:pPr>
              <w:jc w:val="right"/>
              <w:rPr>
                <w:bCs/>
                <w:szCs w:val="21"/>
              </w:rPr>
            </w:pPr>
            <w:r>
              <w:rPr>
                <w:bCs/>
                <w:szCs w:val="21"/>
              </w:rPr>
              <w:t>100.0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62" w:type="pct"/>
            <w:vAlign w:val="center"/>
          </w:tcPr>
          <w:p>
            <w:pPr>
              <w:rPr>
                <w:bCs/>
                <w:szCs w:val="21"/>
              </w:rPr>
            </w:pPr>
            <w:r>
              <w:rPr>
                <w:szCs w:val="21"/>
              </w:rPr>
              <w:t>Grouped by area: Urban</w:t>
            </w:r>
          </w:p>
        </w:tc>
        <w:tc>
          <w:tcPr>
            <w:tcW w:w="1300" w:type="pct"/>
            <w:noWrap/>
            <w:tcMar>
              <w:left w:w="0" w:type="dxa"/>
              <w:right w:w="567" w:type="dxa"/>
            </w:tcMar>
            <w:vAlign w:val="center"/>
          </w:tcPr>
          <w:p>
            <w:pPr>
              <w:jc w:val="right"/>
              <w:rPr>
                <w:bCs/>
                <w:szCs w:val="21"/>
              </w:rPr>
            </w:pPr>
            <w:r>
              <w:rPr>
                <w:rFonts w:hint="eastAsia"/>
                <w:bCs/>
                <w:szCs w:val="21"/>
              </w:rPr>
              <w:t>1</w:t>
            </w:r>
            <w:r>
              <w:rPr>
                <w:bCs/>
                <w:szCs w:val="21"/>
              </w:rPr>
              <w:t>912.8</w:t>
            </w:r>
          </w:p>
        </w:tc>
        <w:tc>
          <w:tcPr>
            <w:tcW w:w="837" w:type="pct"/>
            <w:noWrap/>
            <w:tcMar>
              <w:left w:w="0" w:type="dxa"/>
              <w:right w:w="567" w:type="dxa"/>
            </w:tcMar>
            <w:vAlign w:val="center"/>
          </w:tcPr>
          <w:p>
            <w:pPr>
              <w:jc w:val="right"/>
              <w:rPr>
                <w:bCs/>
                <w:szCs w:val="21"/>
              </w:rPr>
            </w:pPr>
            <w:r>
              <w:rPr>
                <w:rFonts w:hint="eastAsia"/>
                <w:bCs/>
                <w:szCs w:val="21"/>
              </w:rPr>
              <w:t>8</w:t>
            </w:r>
            <w:r>
              <w:rPr>
                <w:bCs/>
                <w:szCs w:val="21"/>
              </w:rPr>
              <w:t>7.6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62" w:type="pct"/>
            <w:vAlign w:val="center"/>
          </w:tcPr>
          <w:p>
            <w:pPr>
              <w:ind w:firstLine="140" w:firstLineChars="67"/>
              <w:rPr>
                <w:szCs w:val="21"/>
              </w:rPr>
            </w:pPr>
            <w:r>
              <w:rPr>
                <w:szCs w:val="21"/>
              </w:rPr>
              <w:t xml:space="preserve">      </w:t>
            </w:r>
            <w:r>
              <w:rPr>
                <w:rFonts w:hint="eastAsia"/>
                <w:szCs w:val="21"/>
              </w:rPr>
              <w:t xml:space="preserve">    </w:t>
            </w:r>
            <w:r>
              <w:rPr>
                <w:szCs w:val="21"/>
              </w:rPr>
              <w:t xml:space="preserve">       Rural</w:t>
            </w:r>
          </w:p>
        </w:tc>
        <w:tc>
          <w:tcPr>
            <w:tcW w:w="1300" w:type="pct"/>
            <w:noWrap/>
            <w:tcMar>
              <w:left w:w="0" w:type="dxa"/>
              <w:right w:w="567" w:type="dxa"/>
            </w:tcMar>
            <w:vAlign w:val="center"/>
          </w:tcPr>
          <w:p>
            <w:pPr>
              <w:jc w:val="right"/>
              <w:rPr>
                <w:bCs/>
                <w:szCs w:val="21"/>
              </w:rPr>
            </w:pPr>
            <w:r>
              <w:rPr>
                <w:rFonts w:hint="eastAsia"/>
                <w:bCs/>
                <w:szCs w:val="21"/>
              </w:rPr>
              <w:t>2</w:t>
            </w:r>
            <w:r>
              <w:rPr>
                <w:bCs/>
                <w:szCs w:val="21"/>
              </w:rPr>
              <w:t>71.5</w:t>
            </w:r>
          </w:p>
        </w:tc>
        <w:tc>
          <w:tcPr>
            <w:tcW w:w="837" w:type="pct"/>
            <w:noWrap/>
            <w:tcMar>
              <w:left w:w="0" w:type="dxa"/>
              <w:right w:w="567" w:type="dxa"/>
            </w:tcMar>
            <w:vAlign w:val="center"/>
          </w:tcPr>
          <w:p>
            <w:pPr>
              <w:jc w:val="right"/>
              <w:rPr>
                <w:bCs/>
                <w:szCs w:val="21"/>
              </w:rPr>
            </w:pPr>
            <w:r>
              <w:rPr>
                <w:rFonts w:hint="eastAsia"/>
                <w:bCs/>
                <w:szCs w:val="21"/>
              </w:rPr>
              <w:t>1</w:t>
            </w:r>
            <w:r>
              <w:rPr>
                <w:bCs/>
                <w:szCs w:val="21"/>
              </w:rPr>
              <w:t>2.4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62" w:type="pct"/>
            <w:vAlign w:val="center"/>
          </w:tcPr>
          <w:p>
            <w:pPr>
              <w:rPr>
                <w:szCs w:val="21"/>
              </w:rPr>
            </w:pPr>
            <w:r>
              <w:rPr>
                <w:rFonts w:hint="eastAsia"/>
                <w:szCs w:val="21"/>
              </w:rPr>
              <w:t>G</w:t>
            </w:r>
            <w:r>
              <w:rPr>
                <w:szCs w:val="21"/>
              </w:rPr>
              <w:t>rouped by gender: Male</w:t>
            </w:r>
          </w:p>
        </w:tc>
        <w:tc>
          <w:tcPr>
            <w:tcW w:w="1300" w:type="pct"/>
            <w:noWrap/>
            <w:tcMar>
              <w:left w:w="0" w:type="dxa"/>
              <w:right w:w="567" w:type="dxa"/>
            </w:tcMar>
            <w:vAlign w:val="center"/>
          </w:tcPr>
          <w:p>
            <w:pPr>
              <w:jc w:val="right"/>
              <w:rPr>
                <w:bCs/>
                <w:szCs w:val="21"/>
              </w:rPr>
            </w:pPr>
            <w:r>
              <w:rPr>
                <w:rFonts w:hint="eastAsia"/>
                <w:bCs/>
                <w:szCs w:val="21"/>
              </w:rPr>
              <w:t>1</w:t>
            </w:r>
            <w:r>
              <w:rPr>
                <w:bCs/>
                <w:szCs w:val="21"/>
              </w:rPr>
              <w:t>114.2</w:t>
            </w:r>
          </w:p>
        </w:tc>
        <w:tc>
          <w:tcPr>
            <w:tcW w:w="837" w:type="pct"/>
            <w:noWrap/>
            <w:tcMar>
              <w:left w:w="0" w:type="dxa"/>
              <w:right w:w="567" w:type="dxa"/>
            </w:tcMar>
            <w:vAlign w:val="center"/>
          </w:tcPr>
          <w:p>
            <w:pPr>
              <w:jc w:val="right"/>
              <w:rPr>
                <w:bCs/>
                <w:szCs w:val="21"/>
              </w:rPr>
            </w:pPr>
            <w:r>
              <w:rPr>
                <w:rFonts w:hint="eastAsia"/>
                <w:bCs/>
                <w:szCs w:val="21"/>
              </w:rPr>
              <w:t>5</w:t>
            </w:r>
            <w:r>
              <w:rPr>
                <w:bCs/>
                <w:szCs w:val="21"/>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62" w:type="pct"/>
            <w:vAlign w:val="center"/>
          </w:tcPr>
          <w:p>
            <w:pPr>
              <w:ind w:firstLine="140" w:firstLineChars="67"/>
              <w:rPr>
                <w:szCs w:val="21"/>
              </w:rPr>
            </w:pPr>
            <w:r>
              <w:rPr>
                <w:szCs w:val="21"/>
              </w:rPr>
              <w:t xml:space="preserve">         </w:t>
            </w:r>
            <w:r>
              <w:rPr>
                <w:rFonts w:hint="eastAsia"/>
                <w:szCs w:val="21"/>
              </w:rPr>
              <w:t xml:space="preserve">    </w:t>
            </w:r>
            <w:r>
              <w:rPr>
                <w:szCs w:val="21"/>
              </w:rPr>
              <w:t xml:space="preserve">      Female</w:t>
            </w:r>
          </w:p>
        </w:tc>
        <w:tc>
          <w:tcPr>
            <w:tcW w:w="1300" w:type="pct"/>
            <w:noWrap/>
            <w:tcMar>
              <w:left w:w="0" w:type="dxa"/>
              <w:right w:w="567" w:type="dxa"/>
            </w:tcMar>
            <w:vAlign w:val="center"/>
          </w:tcPr>
          <w:p>
            <w:pPr>
              <w:jc w:val="right"/>
              <w:rPr>
                <w:bCs/>
                <w:szCs w:val="21"/>
              </w:rPr>
            </w:pPr>
            <w:r>
              <w:rPr>
                <w:rFonts w:hint="eastAsia"/>
                <w:bCs/>
                <w:szCs w:val="21"/>
              </w:rPr>
              <w:t>1</w:t>
            </w:r>
            <w:r>
              <w:rPr>
                <w:bCs/>
                <w:szCs w:val="21"/>
              </w:rPr>
              <w:t>070.1</w:t>
            </w:r>
          </w:p>
        </w:tc>
        <w:tc>
          <w:tcPr>
            <w:tcW w:w="837" w:type="pct"/>
            <w:noWrap/>
            <w:tcMar>
              <w:left w:w="0" w:type="dxa"/>
              <w:right w:w="567" w:type="dxa"/>
            </w:tcMar>
            <w:vAlign w:val="center"/>
          </w:tcPr>
          <w:p>
            <w:pPr>
              <w:jc w:val="right"/>
              <w:rPr>
                <w:bCs/>
                <w:szCs w:val="21"/>
              </w:rPr>
            </w:pPr>
            <w:r>
              <w:rPr>
                <w:rFonts w:hint="eastAsia"/>
                <w:bCs/>
                <w:szCs w:val="21"/>
              </w:rPr>
              <w:t>4</w:t>
            </w:r>
            <w:r>
              <w:rPr>
                <w:bCs/>
                <w:szCs w:val="21"/>
              </w:rPr>
              <w:t>9.0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62" w:type="pct"/>
            <w:vAlign w:val="center"/>
          </w:tcPr>
          <w:p>
            <w:pPr>
              <w:rPr>
                <w:bCs/>
                <w:szCs w:val="21"/>
              </w:rPr>
            </w:pPr>
            <w:r>
              <w:rPr>
                <w:szCs w:val="21"/>
              </w:rPr>
              <w:t>Grouped by age: Aged 0-14</w:t>
            </w:r>
          </w:p>
        </w:tc>
        <w:tc>
          <w:tcPr>
            <w:tcW w:w="1300" w:type="pct"/>
            <w:noWrap/>
            <w:tcMar>
              <w:left w:w="0" w:type="dxa"/>
              <w:right w:w="567" w:type="dxa"/>
            </w:tcMar>
            <w:vAlign w:val="center"/>
          </w:tcPr>
          <w:p>
            <w:pPr>
              <w:jc w:val="right"/>
              <w:rPr>
                <w:bCs/>
                <w:szCs w:val="21"/>
              </w:rPr>
            </w:pPr>
            <w:r>
              <w:rPr>
                <w:rFonts w:hint="eastAsia"/>
                <w:bCs/>
                <w:szCs w:val="21"/>
              </w:rPr>
              <w:t>2</w:t>
            </w:r>
            <w:r>
              <w:rPr>
                <w:bCs/>
                <w:szCs w:val="21"/>
              </w:rPr>
              <w:t>64.0</w:t>
            </w:r>
          </w:p>
        </w:tc>
        <w:tc>
          <w:tcPr>
            <w:tcW w:w="837" w:type="pct"/>
            <w:noWrap/>
            <w:tcMar>
              <w:left w:w="0" w:type="dxa"/>
              <w:right w:w="567" w:type="dxa"/>
            </w:tcMar>
            <w:vAlign w:val="center"/>
          </w:tcPr>
          <w:p>
            <w:pPr>
              <w:jc w:val="right"/>
              <w:rPr>
                <w:bCs/>
                <w:szCs w:val="21"/>
              </w:rPr>
            </w:pPr>
            <w:r>
              <w:rPr>
                <w:rFonts w:hint="eastAsia"/>
                <w:bCs/>
                <w:szCs w:val="21"/>
              </w:rPr>
              <w:t>1</w:t>
            </w:r>
            <w:r>
              <w:rPr>
                <w:bCs/>
                <w:szCs w:val="21"/>
              </w:rPr>
              <w:t>2.1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62" w:type="pct"/>
            <w:vAlign w:val="center"/>
          </w:tcPr>
          <w:p>
            <w:pPr>
              <w:ind w:left="210" w:leftChars="68" w:hanging="67" w:hangingChars="32"/>
              <w:rPr>
                <w:szCs w:val="21"/>
              </w:rPr>
            </w:pPr>
            <w:r>
              <w:rPr>
                <w:szCs w:val="21"/>
              </w:rPr>
              <w:t xml:space="preserve">         </w:t>
            </w:r>
            <w:r>
              <w:rPr>
                <w:rFonts w:hint="eastAsia"/>
                <w:szCs w:val="21"/>
              </w:rPr>
              <w:t xml:space="preserve">    </w:t>
            </w:r>
            <w:r>
              <w:rPr>
                <w:szCs w:val="21"/>
              </w:rPr>
              <w:t xml:space="preserve">   Aged 15-59</w:t>
            </w:r>
          </w:p>
        </w:tc>
        <w:tc>
          <w:tcPr>
            <w:tcW w:w="1300" w:type="pct"/>
            <w:noWrap/>
            <w:tcMar>
              <w:left w:w="0" w:type="dxa"/>
              <w:right w:w="567" w:type="dxa"/>
            </w:tcMar>
            <w:vAlign w:val="center"/>
          </w:tcPr>
          <w:p>
            <w:pPr>
              <w:jc w:val="right"/>
              <w:rPr>
                <w:bCs/>
                <w:szCs w:val="21"/>
              </w:rPr>
            </w:pPr>
            <w:r>
              <w:rPr>
                <w:rFonts w:hint="eastAsia"/>
                <w:bCs/>
                <w:szCs w:val="21"/>
              </w:rPr>
              <w:t>1</w:t>
            </w:r>
            <w:r>
              <w:rPr>
                <w:bCs/>
                <w:szCs w:val="21"/>
              </w:rPr>
              <w:t>455.2</w:t>
            </w:r>
          </w:p>
        </w:tc>
        <w:tc>
          <w:tcPr>
            <w:tcW w:w="837" w:type="pct"/>
            <w:noWrap/>
            <w:tcMar>
              <w:left w:w="0" w:type="dxa"/>
              <w:right w:w="567" w:type="dxa"/>
            </w:tcMar>
            <w:vAlign w:val="center"/>
          </w:tcPr>
          <w:p>
            <w:pPr>
              <w:jc w:val="right"/>
              <w:rPr>
                <w:bCs/>
                <w:szCs w:val="21"/>
              </w:rPr>
            </w:pPr>
            <w:r>
              <w:rPr>
                <w:rFonts w:hint="eastAsia"/>
                <w:bCs/>
                <w:szCs w:val="21"/>
              </w:rPr>
              <w:t>6</w:t>
            </w:r>
            <w:r>
              <w:rPr>
                <w:bCs/>
                <w:szCs w:val="21"/>
              </w:rPr>
              <w:t>6.6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62" w:type="pct"/>
            <w:vAlign w:val="center"/>
          </w:tcPr>
          <w:p>
            <w:pPr>
              <w:ind w:firstLine="140" w:firstLineChars="67"/>
              <w:rPr>
                <w:szCs w:val="21"/>
              </w:rPr>
            </w:pPr>
            <w:r>
              <w:rPr>
                <w:szCs w:val="21"/>
              </w:rPr>
              <w:t xml:space="preserve">         </w:t>
            </w:r>
            <w:r>
              <w:rPr>
                <w:rFonts w:hint="eastAsia"/>
                <w:szCs w:val="21"/>
              </w:rPr>
              <w:t xml:space="preserve">    </w:t>
            </w:r>
            <w:r>
              <w:rPr>
                <w:szCs w:val="21"/>
              </w:rPr>
              <w:t xml:space="preserve">   Aged 60 and above</w:t>
            </w:r>
          </w:p>
        </w:tc>
        <w:tc>
          <w:tcPr>
            <w:tcW w:w="1300" w:type="pct"/>
            <w:noWrap/>
            <w:tcMar>
              <w:left w:w="0" w:type="dxa"/>
              <w:right w:w="567" w:type="dxa"/>
            </w:tcMar>
            <w:vAlign w:val="center"/>
          </w:tcPr>
          <w:p>
            <w:pPr>
              <w:jc w:val="right"/>
              <w:rPr>
                <w:bCs/>
                <w:szCs w:val="21"/>
              </w:rPr>
            </w:pPr>
            <w:r>
              <w:rPr>
                <w:rFonts w:hint="eastAsia"/>
                <w:bCs/>
                <w:szCs w:val="21"/>
              </w:rPr>
              <w:t>4</w:t>
            </w:r>
            <w:r>
              <w:rPr>
                <w:bCs/>
                <w:szCs w:val="21"/>
              </w:rPr>
              <w:t>65.1</w:t>
            </w:r>
          </w:p>
        </w:tc>
        <w:tc>
          <w:tcPr>
            <w:tcW w:w="837" w:type="pct"/>
            <w:noWrap/>
            <w:tcMar>
              <w:left w:w="0" w:type="dxa"/>
              <w:right w:w="567" w:type="dxa"/>
            </w:tcMar>
            <w:vAlign w:val="center"/>
          </w:tcPr>
          <w:p>
            <w:pPr>
              <w:jc w:val="right"/>
              <w:rPr>
                <w:bCs/>
                <w:szCs w:val="21"/>
              </w:rPr>
            </w:pPr>
            <w:r>
              <w:rPr>
                <w:rFonts w:hint="eastAsia"/>
                <w:bCs/>
                <w:szCs w:val="21"/>
              </w:rPr>
              <w:t>2</w:t>
            </w:r>
            <w:r>
              <w:rPr>
                <w:bCs/>
                <w:szCs w:val="21"/>
              </w:rPr>
              <w:t>1.3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62" w:type="pct"/>
            <w:vAlign w:val="center"/>
          </w:tcPr>
          <w:p>
            <w:pPr>
              <w:ind w:firstLine="140" w:firstLineChars="67"/>
              <w:rPr>
                <w:szCs w:val="21"/>
              </w:rPr>
            </w:pPr>
            <w:r>
              <w:rPr>
                <w:szCs w:val="21"/>
              </w:rPr>
              <w:t xml:space="preserve">          </w:t>
            </w:r>
            <w:r>
              <w:rPr>
                <w:rFonts w:hint="eastAsia"/>
                <w:szCs w:val="21"/>
              </w:rPr>
              <w:t xml:space="preserve">    </w:t>
            </w:r>
            <w:r>
              <w:rPr>
                <w:szCs w:val="21"/>
              </w:rPr>
              <w:t xml:space="preserve">   Of which: Aged 65 and above</w:t>
            </w:r>
          </w:p>
        </w:tc>
        <w:tc>
          <w:tcPr>
            <w:tcW w:w="1300" w:type="pct"/>
            <w:noWrap/>
            <w:tcMar>
              <w:left w:w="0" w:type="dxa"/>
              <w:right w:w="567" w:type="dxa"/>
            </w:tcMar>
            <w:vAlign w:val="center"/>
          </w:tcPr>
          <w:p>
            <w:pPr>
              <w:jc w:val="right"/>
              <w:rPr>
                <w:bCs/>
                <w:szCs w:val="21"/>
              </w:rPr>
            </w:pPr>
            <w:r>
              <w:rPr>
                <w:rFonts w:hint="eastAsia"/>
                <w:bCs/>
                <w:szCs w:val="21"/>
              </w:rPr>
              <w:t>3</w:t>
            </w:r>
            <w:r>
              <w:rPr>
                <w:bCs/>
                <w:szCs w:val="21"/>
              </w:rPr>
              <w:t>30.1</w:t>
            </w:r>
          </w:p>
        </w:tc>
        <w:tc>
          <w:tcPr>
            <w:tcW w:w="837" w:type="pct"/>
            <w:noWrap/>
            <w:tcMar>
              <w:left w:w="0" w:type="dxa"/>
              <w:right w:w="567" w:type="dxa"/>
            </w:tcMar>
            <w:vAlign w:val="center"/>
          </w:tcPr>
          <w:p>
            <w:pPr>
              <w:jc w:val="right"/>
              <w:rPr>
                <w:bCs/>
                <w:szCs w:val="21"/>
              </w:rPr>
            </w:pPr>
            <w:r>
              <w:rPr>
                <w:rFonts w:hint="eastAsia"/>
                <w:bCs/>
                <w:szCs w:val="21"/>
              </w:rPr>
              <w:t>1</w:t>
            </w:r>
            <w:r>
              <w:rPr>
                <w:bCs/>
                <w:szCs w:val="21"/>
              </w:rPr>
              <w:t>5.1</w:t>
            </w:r>
          </w:p>
        </w:tc>
      </w:tr>
    </w:tbl>
    <w:p>
      <w:pPr>
        <w:rPr>
          <w:sz w:val="28"/>
          <w:szCs w:val="28"/>
        </w:rPr>
      </w:pPr>
      <w:r>
        <w:rPr>
          <w:b/>
          <w:sz w:val="28"/>
          <w:szCs w:val="28"/>
        </w:rPr>
        <w:t>Price</w:t>
      </w:r>
      <w:r>
        <w:rPr>
          <w:sz w:val="28"/>
          <w:szCs w:val="28"/>
        </w:rPr>
        <w:t xml:space="preserve">: Overall consumer price went up by </w:t>
      </w:r>
      <w:r>
        <w:rPr>
          <w:rFonts w:hint="eastAsia"/>
          <w:sz w:val="28"/>
          <w:szCs w:val="28"/>
        </w:rPr>
        <w:t>1.</w:t>
      </w:r>
      <w:r>
        <w:rPr>
          <w:sz w:val="28"/>
          <w:szCs w:val="28"/>
        </w:rPr>
        <w:t>8% over the previous year. P</w:t>
      </w:r>
      <w:r>
        <w:rPr>
          <w:rFonts w:hint="eastAsia"/>
          <w:sz w:val="28"/>
          <w:szCs w:val="28"/>
        </w:rPr>
        <w:t xml:space="preserve">roducer price for industrial </w:t>
      </w:r>
      <w:r>
        <w:rPr>
          <w:sz w:val="28"/>
          <w:szCs w:val="28"/>
        </w:rPr>
        <w:t>products rose by 2.3%</w:t>
      </w:r>
      <w:r>
        <w:rPr>
          <w:rFonts w:hint="eastAsia"/>
          <w:sz w:val="28"/>
          <w:szCs w:val="28"/>
        </w:rPr>
        <w:t xml:space="preserve"> </w:t>
      </w:r>
      <w:r>
        <w:rPr>
          <w:sz w:val="28"/>
          <w:szCs w:val="28"/>
        </w:rPr>
        <w:t xml:space="preserve">and </w:t>
      </w:r>
      <w:r>
        <w:rPr>
          <w:rFonts w:hint="eastAsia"/>
          <w:sz w:val="28"/>
          <w:szCs w:val="28"/>
        </w:rPr>
        <w:t xml:space="preserve">purchasing price for industrial </w:t>
      </w:r>
      <w:r>
        <w:rPr>
          <w:sz w:val="28"/>
          <w:szCs w:val="28"/>
        </w:rPr>
        <w:t xml:space="preserve">products rose by 6.2%. The producer price for agricultural products rose by 2.7%. In December, the month-on-month index of </w:t>
      </w:r>
      <w:r>
        <w:rPr>
          <w:rFonts w:hint="eastAsia"/>
          <w:sz w:val="28"/>
          <w:szCs w:val="28"/>
        </w:rPr>
        <w:t xml:space="preserve">sales </w:t>
      </w:r>
      <w:r>
        <w:rPr>
          <w:sz w:val="28"/>
          <w:szCs w:val="28"/>
        </w:rPr>
        <w:t>price of new commercial housing was 100.2</w:t>
      </w:r>
      <w:r>
        <w:rPr>
          <w:rFonts w:hint="eastAsia"/>
          <w:sz w:val="28"/>
          <w:szCs w:val="28"/>
        </w:rPr>
        <w:t xml:space="preserve"> and </w:t>
      </w:r>
      <w:r>
        <w:rPr>
          <w:sz w:val="28"/>
          <w:szCs w:val="28"/>
        </w:rPr>
        <w:t>the year-on-year index was 105.8</w:t>
      </w:r>
      <w:r>
        <w:rPr>
          <w:rFonts w:hint="eastAsia"/>
          <w:sz w:val="28"/>
          <w:szCs w:val="28"/>
        </w:rPr>
        <w:t>;</w:t>
      </w:r>
      <w:r>
        <w:rPr>
          <w:sz w:val="28"/>
          <w:szCs w:val="28"/>
        </w:rPr>
        <w:t xml:space="preserve"> the</w:t>
      </w:r>
      <w:r>
        <w:rPr>
          <w:rFonts w:hint="eastAsia"/>
          <w:sz w:val="28"/>
          <w:szCs w:val="28"/>
        </w:rPr>
        <w:t xml:space="preserve"> </w:t>
      </w:r>
      <w:r>
        <w:rPr>
          <w:sz w:val="28"/>
          <w:szCs w:val="28"/>
        </w:rPr>
        <w:t xml:space="preserve">month-on-month index of </w:t>
      </w:r>
      <w:r>
        <w:rPr>
          <w:rFonts w:hint="eastAsia"/>
          <w:sz w:val="28"/>
          <w:szCs w:val="28"/>
        </w:rPr>
        <w:t>sales</w:t>
      </w:r>
      <w:r>
        <w:rPr>
          <w:sz w:val="28"/>
          <w:szCs w:val="28"/>
        </w:rPr>
        <w:t xml:space="preserve"> price of second-hand housing was 99.6 and the year-on-year index was 103.9.</w:t>
      </w:r>
    </w:p>
    <w:p>
      <w:pPr>
        <w:jc w:val="center"/>
        <w:rPr>
          <w:b/>
          <w:sz w:val="24"/>
        </w:rPr>
      </w:pPr>
      <w:r>
        <w:rPr>
          <w:b/>
          <w:sz w:val="24"/>
        </w:rPr>
        <w:t>Figure 2: Monthly Changes in Consumer Price in 20</w:t>
      </w:r>
      <w:r>
        <w:rPr>
          <w:rFonts w:hint="eastAsia"/>
          <w:b/>
          <w:sz w:val="24"/>
        </w:rPr>
        <w:t>2</w:t>
      </w:r>
      <w:r>
        <w:rPr>
          <w:b/>
          <w:sz w:val="24"/>
        </w:rPr>
        <w:t>2</w:t>
      </w:r>
    </w:p>
    <w:p>
      <w:pPr>
        <w:jc w:val="center"/>
        <w:rPr>
          <w:b/>
          <w:sz w:val="24"/>
        </w:rPr>
      </w:pPr>
      <w:r>
        <w:drawing>
          <wp:inline distT="0" distB="0" distL="0" distR="0">
            <wp:extent cx="5615940" cy="2515235"/>
            <wp:effectExtent l="0" t="0" r="3810" b="0"/>
            <wp:docPr id="74" name="图表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center"/>
        <w:rPr>
          <w:sz w:val="28"/>
          <w:szCs w:val="28"/>
        </w:rPr>
      </w:pPr>
    </w:p>
    <w:p>
      <w:pPr>
        <w:jc w:val="center"/>
        <w:rPr>
          <w:b/>
          <w:sz w:val="24"/>
        </w:rPr>
      </w:pPr>
      <w:r>
        <w:rPr>
          <w:b/>
          <w:sz w:val="24"/>
        </w:rPr>
        <w:t>Table 3: Changes in Consumer Price in 20</w:t>
      </w:r>
      <w:r>
        <w:rPr>
          <w:rFonts w:hint="eastAsia"/>
          <w:b/>
          <w:sz w:val="24"/>
        </w:rPr>
        <w:t>2</w:t>
      </w:r>
      <w:r>
        <w:rPr>
          <w:b/>
          <w:sz w:val="24"/>
        </w:rPr>
        <w:t>2</w:t>
      </w:r>
    </w:p>
    <w:tbl>
      <w:tblPr>
        <w:tblStyle w:val="14"/>
        <w:tblW w:w="830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4751"/>
        <w:gridCol w:w="355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751" w:type="dxa"/>
            <w:vAlign w:val="center"/>
          </w:tcPr>
          <w:p>
            <w:pPr>
              <w:ind w:left="57" w:right="57"/>
              <w:jc w:val="center"/>
              <w:rPr>
                <w:szCs w:val="21"/>
              </w:rPr>
            </w:pPr>
            <w:r>
              <w:rPr>
                <w:szCs w:val="21"/>
              </w:rPr>
              <w:t>Indicators</w:t>
            </w:r>
          </w:p>
        </w:tc>
        <w:tc>
          <w:tcPr>
            <w:tcW w:w="3555" w:type="dxa"/>
            <w:vAlign w:val="center"/>
          </w:tcPr>
          <w:p>
            <w:pPr>
              <w:ind w:left="57" w:right="57"/>
              <w:jc w:val="center"/>
              <w:rPr>
                <w:szCs w:val="21"/>
              </w:rPr>
            </w:pPr>
            <w:r>
              <w:rPr>
                <w:szCs w:val="21"/>
              </w:rPr>
              <w:t>Change over the previous year (</w:t>
            </w:r>
            <w:r>
              <w:rPr>
                <w:rFonts w:hint="eastAsia"/>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751" w:type="dxa"/>
            <w:vAlign w:val="center"/>
          </w:tcPr>
          <w:p>
            <w:pPr>
              <w:ind w:right="57"/>
              <w:rPr>
                <w:szCs w:val="21"/>
              </w:rPr>
            </w:pPr>
            <w:r>
              <w:rPr>
                <w:szCs w:val="21"/>
              </w:rPr>
              <w:t>Consumer price</w:t>
            </w:r>
          </w:p>
        </w:tc>
        <w:tc>
          <w:tcPr>
            <w:tcW w:w="3555" w:type="dxa"/>
            <w:vAlign w:val="center"/>
          </w:tcPr>
          <w:p>
            <w:pPr>
              <w:keepNext w:val="0"/>
              <w:keepLines w:val="0"/>
              <w:pageBreakBefore w:val="0"/>
              <w:widowControl w:val="0"/>
              <w:kinsoku/>
              <w:wordWrap/>
              <w:overflowPunct/>
              <w:topLinePunct w:val="0"/>
              <w:autoSpaceDE/>
              <w:autoSpaceDN/>
              <w:bidi w:val="0"/>
              <w:adjustRightInd/>
              <w:snapToGrid/>
              <w:ind w:left="57" w:right="1701"/>
              <w:jc w:val="right"/>
              <w:textAlignment w:val="auto"/>
              <w:rPr>
                <w:szCs w:val="21"/>
              </w:rPr>
            </w:pPr>
            <w:r>
              <w:rPr>
                <w:rFonts w:hint="eastAsia"/>
                <w:szCs w:val="21"/>
              </w:rPr>
              <w:t>1.</w:t>
            </w:r>
            <w:r>
              <w:rPr>
                <w:szCs w:val="21"/>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751" w:type="dxa"/>
            <w:vAlign w:val="center"/>
          </w:tcPr>
          <w:p>
            <w:pPr>
              <w:ind w:right="57" w:firstLine="105" w:firstLineChars="50"/>
              <w:rPr>
                <w:szCs w:val="21"/>
              </w:rPr>
            </w:pPr>
            <w:r>
              <w:rPr>
                <w:szCs w:val="21"/>
              </w:rPr>
              <w:t>Food, Tobacco and Alcohol</w:t>
            </w:r>
          </w:p>
        </w:tc>
        <w:tc>
          <w:tcPr>
            <w:tcW w:w="3555" w:type="dxa"/>
            <w:vAlign w:val="center"/>
          </w:tcPr>
          <w:p>
            <w:pPr>
              <w:keepNext w:val="0"/>
              <w:keepLines w:val="0"/>
              <w:pageBreakBefore w:val="0"/>
              <w:widowControl w:val="0"/>
              <w:kinsoku/>
              <w:wordWrap/>
              <w:overflowPunct/>
              <w:topLinePunct w:val="0"/>
              <w:autoSpaceDE/>
              <w:autoSpaceDN/>
              <w:bidi w:val="0"/>
              <w:adjustRightInd/>
              <w:snapToGrid/>
              <w:ind w:left="57" w:right="1701"/>
              <w:jc w:val="right"/>
              <w:textAlignment w:val="auto"/>
              <w:rPr>
                <w:szCs w:val="21"/>
              </w:rPr>
            </w:pPr>
            <w:r>
              <w:rPr>
                <w:szCs w:val="21"/>
              </w:rPr>
              <w:t>3.1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751" w:type="dxa"/>
            <w:vAlign w:val="center"/>
          </w:tcPr>
          <w:p>
            <w:pPr>
              <w:ind w:right="57" w:firstLine="105" w:firstLineChars="50"/>
              <w:rPr>
                <w:szCs w:val="21"/>
              </w:rPr>
            </w:pPr>
            <w:r>
              <w:rPr>
                <w:rFonts w:hint="eastAsia"/>
                <w:szCs w:val="21"/>
              </w:rPr>
              <w:t xml:space="preserve"> </w:t>
            </w:r>
            <w:r>
              <w:rPr>
                <w:szCs w:val="21"/>
              </w:rPr>
              <w:t>Of which: Food</w:t>
            </w:r>
          </w:p>
        </w:tc>
        <w:tc>
          <w:tcPr>
            <w:tcW w:w="3555" w:type="dxa"/>
            <w:vAlign w:val="center"/>
          </w:tcPr>
          <w:p>
            <w:pPr>
              <w:keepNext w:val="0"/>
              <w:keepLines w:val="0"/>
              <w:pageBreakBefore w:val="0"/>
              <w:widowControl w:val="0"/>
              <w:kinsoku/>
              <w:wordWrap/>
              <w:overflowPunct/>
              <w:topLinePunct w:val="0"/>
              <w:autoSpaceDE/>
              <w:autoSpaceDN/>
              <w:bidi w:val="0"/>
              <w:adjustRightInd/>
              <w:snapToGrid/>
              <w:ind w:left="57" w:right="1701"/>
              <w:jc w:val="right"/>
              <w:textAlignment w:val="auto"/>
              <w:rPr>
                <w:szCs w:val="21"/>
              </w:rPr>
            </w:pPr>
            <w:r>
              <w:rPr>
                <w:rFonts w:hint="eastAsia"/>
                <w:szCs w:val="21"/>
              </w:rPr>
              <w:t>3</w:t>
            </w:r>
            <w:r>
              <w:rPr>
                <w:szCs w:val="21"/>
              </w:rPr>
              <w:t>.9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751" w:type="dxa"/>
            <w:vAlign w:val="center"/>
          </w:tcPr>
          <w:p>
            <w:pPr>
              <w:ind w:right="57" w:firstLine="315" w:firstLineChars="150"/>
              <w:rPr>
                <w:szCs w:val="21"/>
              </w:rPr>
            </w:pPr>
            <w:r>
              <w:rPr>
                <w:szCs w:val="21"/>
              </w:rPr>
              <w:t>Of which: Grain</w:t>
            </w:r>
          </w:p>
        </w:tc>
        <w:tc>
          <w:tcPr>
            <w:tcW w:w="3555" w:type="dxa"/>
            <w:vAlign w:val="center"/>
          </w:tcPr>
          <w:p>
            <w:pPr>
              <w:keepNext w:val="0"/>
              <w:keepLines w:val="0"/>
              <w:pageBreakBefore w:val="0"/>
              <w:widowControl w:val="0"/>
              <w:kinsoku/>
              <w:wordWrap/>
              <w:overflowPunct/>
              <w:topLinePunct w:val="0"/>
              <w:autoSpaceDE/>
              <w:autoSpaceDN/>
              <w:bidi w:val="0"/>
              <w:adjustRightInd/>
              <w:snapToGrid/>
              <w:ind w:left="57" w:right="1701"/>
              <w:jc w:val="right"/>
              <w:textAlignment w:val="auto"/>
              <w:rPr>
                <w:szCs w:val="21"/>
              </w:rPr>
            </w:pPr>
            <w:r>
              <w:rPr>
                <w:szCs w:val="21"/>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751" w:type="dxa"/>
            <w:vAlign w:val="center"/>
          </w:tcPr>
          <w:p>
            <w:pPr>
              <w:ind w:right="57" w:firstLine="1365" w:firstLineChars="650"/>
              <w:rPr>
                <w:szCs w:val="21"/>
              </w:rPr>
            </w:pPr>
            <w:r>
              <w:rPr>
                <w:szCs w:val="21"/>
              </w:rPr>
              <w:t>Pork</w:t>
            </w:r>
          </w:p>
        </w:tc>
        <w:tc>
          <w:tcPr>
            <w:tcW w:w="3555" w:type="dxa"/>
            <w:vAlign w:val="center"/>
          </w:tcPr>
          <w:p>
            <w:pPr>
              <w:keepNext w:val="0"/>
              <w:keepLines w:val="0"/>
              <w:pageBreakBefore w:val="0"/>
              <w:widowControl w:val="0"/>
              <w:kinsoku/>
              <w:wordWrap/>
              <w:overflowPunct/>
              <w:topLinePunct w:val="0"/>
              <w:autoSpaceDE/>
              <w:autoSpaceDN/>
              <w:bidi w:val="0"/>
              <w:adjustRightInd/>
              <w:snapToGrid/>
              <w:ind w:left="57" w:right="1701"/>
              <w:jc w:val="right"/>
              <w:textAlignment w:val="auto"/>
              <w:rPr>
                <w:szCs w:val="21"/>
              </w:rPr>
            </w:pPr>
            <w:r>
              <w:rPr>
                <w:szCs w:val="21"/>
              </w:rPr>
              <w:t>-6.9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751" w:type="dxa"/>
            <w:vAlign w:val="center"/>
          </w:tcPr>
          <w:p>
            <w:pPr>
              <w:ind w:right="57" w:firstLine="1365" w:firstLineChars="650"/>
              <w:rPr>
                <w:szCs w:val="21"/>
              </w:rPr>
            </w:pPr>
            <w:r>
              <w:rPr>
                <w:szCs w:val="21"/>
              </w:rPr>
              <w:t>Fresh vegetables</w:t>
            </w:r>
          </w:p>
        </w:tc>
        <w:tc>
          <w:tcPr>
            <w:tcW w:w="3555" w:type="dxa"/>
            <w:vAlign w:val="center"/>
          </w:tcPr>
          <w:p>
            <w:pPr>
              <w:keepNext w:val="0"/>
              <w:keepLines w:val="0"/>
              <w:pageBreakBefore w:val="0"/>
              <w:widowControl w:val="0"/>
              <w:kinsoku/>
              <w:wordWrap/>
              <w:overflowPunct/>
              <w:topLinePunct w:val="0"/>
              <w:autoSpaceDE/>
              <w:autoSpaceDN/>
              <w:bidi w:val="0"/>
              <w:adjustRightInd/>
              <w:snapToGrid/>
              <w:ind w:left="57" w:right="1701"/>
              <w:jc w:val="right"/>
              <w:textAlignment w:val="auto"/>
              <w:rPr>
                <w:szCs w:val="21"/>
              </w:rPr>
            </w:pPr>
            <w:r>
              <w:rPr>
                <w:szCs w:val="21"/>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751" w:type="dxa"/>
            <w:vAlign w:val="center"/>
          </w:tcPr>
          <w:p>
            <w:pPr>
              <w:ind w:right="57" w:firstLine="1365" w:firstLineChars="650"/>
              <w:rPr>
                <w:szCs w:val="21"/>
              </w:rPr>
            </w:pPr>
            <w:r>
              <w:rPr>
                <w:szCs w:val="21"/>
              </w:rPr>
              <w:t>Eggs</w:t>
            </w:r>
          </w:p>
        </w:tc>
        <w:tc>
          <w:tcPr>
            <w:tcW w:w="3555" w:type="dxa"/>
            <w:vAlign w:val="center"/>
          </w:tcPr>
          <w:p>
            <w:pPr>
              <w:keepNext w:val="0"/>
              <w:keepLines w:val="0"/>
              <w:pageBreakBefore w:val="0"/>
              <w:widowControl w:val="0"/>
              <w:kinsoku/>
              <w:wordWrap/>
              <w:overflowPunct/>
              <w:topLinePunct w:val="0"/>
              <w:autoSpaceDE/>
              <w:autoSpaceDN/>
              <w:bidi w:val="0"/>
              <w:adjustRightInd/>
              <w:snapToGrid/>
              <w:ind w:left="57" w:right="1701"/>
              <w:jc w:val="right"/>
              <w:textAlignment w:val="auto"/>
              <w:rPr>
                <w:szCs w:val="21"/>
              </w:rPr>
            </w:pPr>
            <w:r>
              <w:rPr>
                <w:szCs w:val="21"/>
              </w:rPr>
              <w:t>6.4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751" w:type="dxa"/>
            <w:vAlign w:val="center"/>
          </w:tcPr>
          <w:p>
            <w:pPr>
              <w:ind w:right="57" w:firstLine="105" w:firstLineChars="50"/>
              <w:rPr>
                <w:szCs w:val="21"/>
              </w:rPr>
            </w:pPr>
            <w:r>
              <w:rPr>
                <w:szCs w:val="21"/>
              </w:rPr>
              <w:t>Clothing</w:t>
            </w:r>
          </w:p>
        </w:tc>
        <w:tc>
          <w:tcPr>
            <w:tcW w:w="3555" w:type="dxa"/>
            <w:vAlign w:val="center"/>
          </w:tcPr>
          <w:p>
            <w:pPr>
              <w:keepNext w:val="0"/>
              <w:keepLines w:val="0"/>
              <w:pageBreakBefore w:val="0"/>
              <w:widowControl w:val="0"/>
              <w:kinsoku/>
              <w:wordWrap/>
              <w:overflowPunct/>
              <w:topLinePunct w:val="0"/>
              <w:autoSpaceDE/>
              <w:autoSpaceDN/>
              <w:bidi w:val="0"/>
              <w:adjustRightInd/>
              <w:snapToGrid/>
              <w:ind w:left="57" w:right="1701"/>
              <w:jc w:val="right"/>
              <w:textAlignment w:val="auto"/>
              <w:rPr>
                <w:szCs w:val="21"/>
              </w:rPr>
            </w:pPr>
            <w:r>
              <w:rPr>
                <w:rFonts w:hint="eastAsia"/>
                <w:szCs w:val="21"/>
              </w:rPr>
              <w:t>0.</w:t>
            </w:r>
            <w:r>
              <w:rPr>
                <w:szCs w:val="21"/>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751" w:type="dxa"/>
            <w:vAlign w:val="center"/>
          </w:tcPr>
          <w:p>
            <w:pPr>
              <w:ind w:right="57" w:firstLine="155" w:firstLineChars="74"/>
              <w:rPr>
                <w:szCs w:val="21"/>
              </w:rPr>
            </w:pPr>
            <w:r>
              <w:rPr>
                <w:szCs w:val="21"/>
              </w:rPr>
              <w:t>Housing</w:t>
            </w:r>
          </w:p>
        </w:tc>
        <w:tc>
          <w:tcPr>
            <w:tcW w:w="3555" w:type="dxa"/>
            <w:vAlign w:val="center"/>
          </w:tcPr>
          <w:p>
            <w:pPr>
              <w:keepNext w:val="0"/>
              <w:keepLines w:val="0"/>
              <w:pageBreakBefore w:val="0"/>
              <w:widowControl w:val="0"/>
              <w:kinsoku/>
              <w:wordWrap/>
              <w:overflowPunct/>
              <w:topLinePunct w:val="0"/>
              <w:autoSpaceDE/>
              <w:autoSpaceDN/>
              <w:bidi w:val="0"/>
              <w:adjustRightInd/>
              <w:snapToGrid/>
              <w:ind w:left="57" w:right="1701"/>
              <w:jc w:val="right"/>
              <w:textAlignment w:val="auto"/>
              <w:rPr>
                <w:szCs w:val="21"/>
              </w:rPr>
            </w:pPr>
            <w:r>
              <w:rPr>
                <w:rFonts w:hint="eastAsia"/>
                <w:szCs w:val="21"/>
              </w:rPr>
              <w:t>0.</w:t>
            </w:r>
            <w:r>
              <w:rPr>
                <w:szCs w:val="21"/>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751" w:type="dxa"/>
            <w:vAlign w:val="center"/>
          </w:tcPr>
          <w:p>
            <w:pPr>
              <w:ind w:right="57" w:firstLine="155" w:firstLineChars="74"/>
              <w:rPr>
                <w:szCs w:val="21"/>
              </w:rPr>
            </w:pPr>
            <w:r>
              <w:rPr>
                <w:rFonts w:hint="eastAsia"/>
                <w:szCs w:val="21"/>
              </w:rPr>
              <w:t>H</w:t>
            </w:r>
            <w:r>
              <w:rPr>
                <w:szCs w:val="21"/>
              </w:rPr>
              <w:t>ousehold Goods and Services</w:t>
            </w:r>
          </w:p>
        </w:tc>
        <w:tc>
          <w:tcPr>
            <w:tcW w:w="3555" w:type="dxa"/>
            <w:vAlign w:val="center"/>
          </w:tcPr>
          <w:p>
            <w:pPr>
              <w:keepNext w:val="0"/>
              <w:keepLines w:val="0"/>
              <w:pageBreakBefore w:val="0"/>
              <w:widowControl w:val="0"/>
              <w:kinsoku/>
              <w:wordWrap/>
              <w:overflowPunct/>
              <w:topLinePunct w:val="0"/>
              <w:autoSpaceDE/>
              <w:autoSpaceDN/>
              <w:bidi w:val="0"/>
              <w:adjustRightInd/>
              <w:snapToGrid/>
              <w:ind w:right="1701"/>
              <w:jc w:val="right"/>
              <w:textAlignment w:val="auto"/>
              <w:rPr>
                <w:szCs w:val="21"/>
              </w:rPr>
            </w:pPr>
            <w:r>
              <w:rPr>
                <w:rFonts w:hint="eastAsia"/>
                <w:szCs w:val="21"/>
              </w:rPr>
              <w:t>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751" w:type="dxa"/>
            <w:vAlign w:val="center"/>
          </w:tcPr>
          <w:p>
            <w:pPr>
              <w:ind w:right="57" w:firstLine="155" w:firstLineChars="74"/>
              <w:rPr>
                <w:szCs w:val="21"/>
              </w:rPr>
            </w:pPr>
            <w:r>
              <w:rPr>
                <w:szCs w:val="21"/>
              </w:rPr>
              <w:t>Transportation and Communication</w:t>
            </w:r>
          </w:p>
        </w:tc>
        <w:tc>
          <w:tcPr>
            <w:tcW w:w="3555" w:type="dxa"/>
            <w:vAlign w:val="center"/>
          </w:tcPr>
          <w:p>
            <w:pPr>
              <w:keepNext w:val="0"/>
              <w:keepLines w:val="0"/>
              <w:pageBreakBefore w:val="0"/>
              <w:widowControl w:val="0"/>
              <w:kinsoku/>
              <w:wordWrap/>
              <w:overflowPunct/>
              <w:topLinePunct w:val="0"/>
              <w:autoSpaceDE/>
              <w:autoSpaceDN/>
              <w:bidi w:val="0"/>
              <w:adjustRightInd/>
              <w:snapToGrid/>
              <w:ind w:left="57" w:right="1701"/>
              <w:jc w:val="right"/>
              <w:textAlignment w:val="auto"/>
              <w:rPr>
                <w:szCs w:val="21"/>
              </w:rPr>
            </w:pPr>
            <w:r>
              <w:rPr>
                <w:szCs w:val="21"/>
              </w:rPr>
              <w:t>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751" w:type="dxa"/>
            <w:vAlign w:val="center"/>
          </w:tcPr>
          <w:p>
            <w:pPr>
              <w:ind w:right="57" w:firstLine="155" w:firstLineChars="74"/>
              <w:rPr>
                <w:szCs w:val="21"/>
              </w:rPr>
            </w:pPr>
            <w:r>
              <w:rPr>
                <w:szCs w:val="21"/>
              </w:rPr>
              <w:t>Education, Culture and Entertainment</w:t>
            </w:r>
          </w:p>
        </w:tc>
        <w:tc>
          <w:tcPr>
            <w:tcW w:w="3555" w:type="dxa"/>
            <w:vAlign w:val="center"/>
          </w:tcPr>
          <w:p>
            <w:pPr>
              <w:keepNext w:val="0"/>
              <w:keepLines w:val="0"/>
              <w:pageBreakBefore w:val="0"/>
              <w:widowControl w:val="0"/>
              <w:kinsoku/>
              <w:wordWrap/>
              <w:overflowPunct/>
              <w:topLinePunct w:val="0"/>
              <w:autoSpaceDE/>
              <w:autoSpaceDN/>
              <w:bidi w:val="0"/>
              <w:adjustRightInd/>
              <w:snapToGrid/>
              <w:ind w:left="57" w:right="1701"/>
              <w:jc w:val="right"/>
              <w:textAlignment w:val="auto"/>
              <w:rPr>
                <w:szCs w:val="21"/>
              </w:rPr>
            </w:pPr>
            <w:r>
              <w:rPr>
                <w:szCs w:val="21"/>
              </w:rPr>
              <w:t>0.6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751" w:type="dxa"/>
            <w:vAlign w:val="center"/>
          </w:tcPr>
          <w:p>
            <w:pPr>
              <w:ind w:right="57" w:firstLine="155" w:firstLineChars="74"/>
              <w:rPr>
                <w:szCs w:val="21"/>
              </w:rPr>
            </w:pPr>
            <w:r>
              <w:rPr>
                <w:szCs w:val="21"/>
              </w:rPr>
              <w:t>Healthcare</w:t>
            </w:r>
          </w:p>
        </w:tc>
        <w:tc>
          <w:tcPr>
            <w:tcW w:w="3555" w:type="dxa"/>
            <w:vAlign w:val="center"/>
          </w:tcPr>
          <w:p>
            <w:pPr>
              <w:keepNext w:val="0"/>
              <w:keepLines w:val="0"/>
              <w:pageBreakBefore w:val="0"/>
              <w:widowControl w:val="0"/>
              <w:kinsoku/>
              <w:wordWrap/>
              <w:overflowPunct/>
              <w:topLinePunct w:val="0"/>
              <w:autoSpaceDE/>
              <w:autoSpaceDN/>
              <w:bidi w:val="0"/>
              <w:adjustRightInd/>
              <w:snapToGrid/>
              <w:ind w:left="57" w:right="1701"/>
              <w:jc w:val="right"/>
              <w:textAlignment w:val="auto"/>
              <w:rPr>
                <w:szCs w:val="21"/>
              </w:rPr>
            </w:pPr>
            <w:r>
              <w:rPr>
                <w:szCs w:val="21"/>
              </w:rPr>
              <w:t>0.7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751" w:type="dxa"/>
            <w:vAlign w:val="center"/>
          </w:tcPr>
          <w:p>
            <w:pPr>
              <w:ind w:right="57" w:firstLine="155" w:firstLineChars="74"/>
              <w:rPr>
                <w:szCs w:val="21"/>
              </w:rPr>
            </w:pPr>
            <w:r>
              <w:rPr>
                <w:szCs w:val="21"/>
              </w:rPr>
              <w:t>Other Supplies and Services</w:t>
            </w:r>
          </w:p>
        </w:tc>
        <w:tc>
          <w:tcPr>
            <w:tcW w:w="3555" w:type="dxa"/>
            <w:vAlign w:val="center"/>
          </w:tcPr>
          <w:p>
            <w:pPr>
              <w:keepNext w:val="0"/>
              <w:keepLines w:val="0"/>
              <w:pageBreakBefore w:val="0"/>
              <w:widowControl w:val="0"/>
              <w:kinsoku/>
              <w:wordWrap/>
              <w:overflowPunct/>
              <w:topLinePunct w:val="0"/>
              <w:autoSpaceDE/>
              <w:autoSpaceDN/>
              <w:bidi w:val="0"/>
              <w:adjustRightInd/>
              <w:snapToGrid/>
              <w:ind w:left="57" w:right="1701"/>
              <w:jc w:val="right"/>
              <w:textAlignment w:val="auto"/>
              <w:rPr>
                <w:szCs w:val="21"/>
              </w:rPr>
            </w:pPr>
            <w:r>
              <w:rPr>
                <w:szCs w:val="21"/>
              </w:rPr>
              <w:t>1.6</w:t>
            </w:r>
          </w:p>
        </w:tc>
      </w:tr>
    </w:tbl>
    <w:p>
      <w:pPr>
        <w:rPr>
          <w:sz w:val="28"/>
          <w:szCs w:val="28"/>
        </w:rPr>
      </w:pPr>
      <w:bookmarkStart w:id="6" w:name="_Toc379894708"/>
    </w:p>
    <w:p>
      <w:pPr>
        <w:jc w:val="center"/>
        <w:rPr>
          <w:b/>
          <w:sz w:val="24"/>
        </w:rPr>
      </w:pPr>
      <w:r>
        <w:rPr>
          <w:b/>
          <w:sz w:val="24"/>
        </w:rPr>
        <w:t>Table 4: Month-on-</w:t>
      </w:r>
      <w:r>
        <w:rPr>
          <w:rFonts w:hint="eastAsia"/>
          <w:b/>
          <w:sz w:val="24"/>
        </w:rPr>
        <w:t>M</w:t>
      </w:r>
      <w:r>
        <w:rPr>
          <w:b/>
          <w:sz w:val="24"/>
        </w:rPr>
        <w:t>onth I</w:t>
      </w:r>
      <w:r>
        <w:rPr>
          <w:rFonts w:hint="eastAsia"/>
          <w:b/>
          <w:sz w:val="24"/>
        </w:rPr>
        <w:t>n</w:t>
      </w:r>
      <w:r>
        <w:rPr>
          <w:b/>
          <w:sz w:val="24"/>
        </w:rPr>
        <w:t xml:space="preserve">dex of Sales </w:t>
      </w:r>
      <w:r>
        <w:rPr>
          <w:rFonts w:hint="eastAsia"/>
          <w:b/>
          <w:sz w:val="24"/>
        </w:rPr>
        <w:t>P</w:t>
      </w:r>
      <w:r>
        <w:rPr>
          <w:b/>
          <w:sz w:val="24"/>
        </w:rPr>
        <w:t>rices</w:t>
      </w:r>
      <w:r>
        <w:rPr>
          <w:rFonts w:hint="eastAsia"/>
          <w:b/>
          <w:sz w:val="24"/>
        </w:rPr>
        <w:t xml:space="preserve"> of N</w:t>
      </w:r>
      <w:r>
        <w:rPr>
          <w:b/>
          <w:sz w:val="24"/>
        </w:rPr>
        <w:t>ew Commercial</w:t>
      </w:r>
      <w:r>
        <w:rPr>
          <w:rFonts w:hint="eastAsia"/>
          <w:b/>
          <w:sz w:val="24"/>
        </w:rPr>
        <w:t xml:space="preserve"> H</w:t>
      </w:r>
      <w:r>
        <w:rPr>
          <w:b/>
          <w:sz w:val="24"/>
        </w:rPr>
        <w:t xml:space="preserve">ousing and </w:t>
      </w:r>
      <w:r>
        <w:rPr>
          <w:rFonts w:hint="eastAsia"/>
          <w:b/>
          <w:sz w:val="24"/>
        </w:rPr>
        <w:t>S</w:t>
      </w:r>
      <w:r>
        <w:rPr>
          <w:b/>
          <w:sz w:val="24"/>
        </w:rPr>
        <w:t xml:space="preserve">econd-hand </w:t>
      </w:r>
      <w:r>
        <w:rPr>
          <w:rFonts w:hint="eastAsia"/>
          <w:b/>
          <w:sz w:val="24"/>
        </w:rPr>
        <w:t>H</w:t>
      </w:r>
      <w:r>
        <w:rPr>
          <w:b/>
          <w:sz w:val="24"/>
        </w:rPr>
        <w:t>ousing</w:t>
      </w:r>
      <w:r>
        <w:rPr>
          <w:rFonts w:hint="eastAsia"/>
          <w:b/>
          <w:sz w:val="24"/>
        </w:rPr>
        <w:t xml:space="preserve"> </w:t>
      </w:r>
      <w:r>
        <w:rPr>
          <w:b/>
          <w:sz w:val="24"/>
        </w:rPr>
        <w:t>in 2022</w:t>
      </w:r>
    </w:p>
    <w:p>
      <w:pPr>
        <w:jc w:val="center"/>
        <w:rPr>
          <w:b/>
          <w:sz w:val="24"/>
        </w:rPr>
      </w:pPr>
    </w:p>
    <w:tbl>
      <w:tblPr>
        <w:tblStyle w:val="14"/>
        <w:tblW w:w="9339" w:type="dxa"/>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331"/>
        <w:gridCol w:w="668"/>
        <w:gridCol w:w="668"/>
        <w:gridCol w:w="668"/>
        <w:gridCol w:w="668"/>
        <w:gridCol w:w="667"/>
        <w:gridCol w:w="667"/>
        <w:gridCol w:w="667"/>
        <w:gridCol w:w="667"/>
        <w:gridCol w:w="667"/>
        <w:gridCol w:w="667"/>
        <w:gridCol w:w="667"/>
        <w:gridCol w:w="667"/>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79" w:hRule="atLeast"/>
          <w:jc w:val="center"/>
        </w:trPr>
        <w:tc>
          <w:tcPr>
            <w:tcW w:w="1331" w:type="dxa"/>
            <w:vAlign w:val="center"/>
          </w:tcPr>
          <w:p>
            <w:pPr>
              <w:adjustRightInd w:val="0"/>
              <w:snapToGrid w:val="0"/>
              <w:jc w:val="center"/>
              <w:rPr>
                <w:w w:val="80"/>
                <w:szCs w:val="21"/>
              </w:rPr>
            </w:pPr>
            <w:r>
              <w:rPr>
                <w:w w:val="80"/>
                <w:szCs w:val="21"/>
              </w:rPr>
              <w:t>I</w:t>
            </w:r>
            <w:r>
              <w:rPr>
                <w:rFonts w:hint="eastAsia"/>
                <w:w w:val="80"/>
                <w:szCs w:val="21"/>
              </w:rPr>
              <w:t>ndex</w:t>
            </w:r>
          </w:p>
          <w:p>
            <w:pPr>
              <w:adjustRightInd w:val="0"/>
              <w:snapToGrid w:val="0"/>
              <w:jc w:val="center"/>
              <w:rPr>
                <w:w w:val="80"/>
                <w:szCs w:val="21"/>
              </w:rPr>
            </w:pPr>
            <w:r>
              <w:rPr>
                <w:rFonts w:hint="eastAsia"/>
                <w:w w:val="80"/>
                <w:szCs w:val="21"/>
              </w:rPr>
              <w:t>(P</w:t>
            </w:r>
            <w:r>
              <w:rPr>
                <w:w w:val="80"/>
                <w:szCs w:val="21"/>
              </w:rPr>
              <w:t xml:space="preserve">revious </w:t>
            </w:r>
            <w:r>
              <w:rPr>
                <w:rFonts w:hint="eastAsia"/>
                <w:w w:val="80"/>
                <w:szCs w:val="21"/>
              </w:rPr>
              <w:t>month = 100)</w:t>
            </w:r>
          </w:p>
        </w:tc>
        <w:tc>
          <w:tcPr>
            <w:tcW w:w="668" w:type="dxa"/>
            <w:vAlign w:val="center"/>
          </w:tcPr>
          <w:p>
            <w:pPr>
              <w:adjustRightInd w:val="0"/>
              <w:snapToGrid w:val="0"/>
              <w:jc w:val="center"/>
              <w:rPr>
                <w:w w:val="80"/>
                <w:szCs w:val="21"/>
              </w:rPr>
            </w:pPr>
            <w:r>
              <w:rPr>
                <w:w w:val="80"/>
                <w:szCs w:val="21"/>
              </w:rPr>
              <w:t>Jan.</w:t>
            </w:r>
          </w:p>
        </w:tc>
        <w:tc>
          <w:tcPr>
            <w:tcW w:w="668" w:type="dxa"/>
            <w:vAlign w:val="center"/>
          </w:tcPr>
          <w:p>
            <w:pPr>
              <w:adjustRightInd w:val="0"/>
              <w:snapToGrid w:val="0"/>
              <w:jc w:val="center"/>
              <w:rPr>
                <w:w w:val="80"/>
                <w:szCs w:val="21"/>
              </w:rPr>
            </w:pPr>
            <w:r>
              <w:rPr>
                <w:w w:val="80"/>
                <w:szCs w:val="21"/>
              </w:rPr>
              <w:t>Feb.</w:t>
            </w:r>
          </w:p>
        </w:tc>
        <w:tc>
          <w:tcPr>
            <w:tcW w:w="668" w:type="dxa"/>
            <w:vAlign w:val="center"/>
          </w:tcPr>
          <w:p>
            <w:pPr>
              <w:adjustRightInd w:val="0"/>
              <w:snapToGrid w:val="0"/>
              <w:jc w:val="center"/>
              <w:rPr>
                <w:w w:val="80"/>
                <w:szCs w:val="21"/>
              </w:rPr>
            </w:pPr>
            <w:r>
              <w:rPr>
                <w:w w:val="80"/>
                <w:szCs w:val="21"/>
              </w:rPr>
              <w:t>Mar.</w:t>
            </w:r>
          </w:p>
        </w:tc>
        <w:tc>
          <w:tcPr>
            <w:tcW w:w="668" w:type="dxa"/>
            <w:vAlign w:val="center"/>
          </w:tcPr>
          <w:p>
            <w:pPr>
              <w:adjustRightInd w:val="0"/>
              <w:snapToGrid w:val="0"/>
              <w:jc w:val="center"/>
              <w:rPr>
                <w:w w:val="80"/>
                <w:szCs w:val="21"/>
              </w:rPr>
            </w:pPr>
            <w:r>
              <w:rPr>
                <w:w w:val="80"/>
                <w:szCs w:val="21"/>
              </w:rPr>
              <w:t>Apr.</w:t>
            </w:r>
          </w:p>
        </w:tc>
        <w:tc>
          <w:tcPr>
            <w:tcW w:w="667" w:type="dxa"/>
            <w:vAlign w:val="center"/>
          </w:tcPr>
          <w:p>
            <w:pPr>
              <w:adjustRightInd w:val="0"/>
              <w:snapToGrid w:val="0"/>
              <w:jc w:val="center"/>
              <w:rPr>
                <w:w w:val="80"/>
                <w:szCs w:val="21"/>
              </w:rPr>
            </w:pPr>
            <w:r>
              <w:rPr>
                <w:w w:val="80"/>
                <w:szCs w:val="21"/>
              </w:rPr>
              <w:t>May</w:t>
            </w:r>
          </w:p>
        </w:tc>
        <w:tc>
          <w:tcPr>
            <w:tcW w:w="667" w:type="dxa"/>
            <w:vAlign w:val="center"/>
          </w:tcPr>
          <w:p>
            <w:pPr>
              <w:adjustRightInd w:val="0"/>
              <w:snapToGrid w:val="0"/>
              <w:jc w:val="center"/>
              <w:rPr>
                <w:w w:val="80"/>
                <w:szCs w:val="21"/>
              </w:rPr>
            </w:pPr>
            <w:r>
              <w:rPr>
                <w:w w:val="80"/>
                <w:szCs w:val="21"/>
              </w:rPr>
              <w:t>Jun.</w:t>
            </w:r>
          </w:p>
        </w:tc>
        <w:tc>
          <w:tcPr>
            <w:tcW w:w="667" w:type="dxa"/>
            <w:vAlign w:val="center"/>
          </w:tcPr>
          <w:p>
            <w:pPr>
              <w:adjustRightInd w:val="0"/>
              <w:snapToGrid w:val="0"/>
              <w:jc w:val="center"/>
              <w:rPr>
                <w:w w:val="80"/>
                <w:szCs w:val="21"/>
              </w:rPr>
            </w:pPr>
            <w:r>
              <w:rPr>
                <w:w w:val="80"/>
                <w:szCs w:val="21"/>
              </w:rPr>
              <w:t>Jul.</w:t>
            </w:r>
          </w:p>
        </w:tc>
        <w:tc>
          <w:tcPr>
            <w:tcW w:w="667" w:type="dxa"/>
            <w:vAlign w:val="center"/>
          </w:tcPr>
          <w:p>
            <w:pPr>
              <w:adjustRightInd w:val="0"/>
              <w:snapToGrid w:val="0"/>
              <w:jc w:val="center"/>
              <w:rPr>
                <w:w w:val="80"/>
                <w:szCs w:val="21"/>
              </w:rPr>
            </w:pPr>
            <w:r>
              <w:rPr>
                <w:w w:val="80"/>
                <w:szCs w:val="21"/>
              </w:rPr>
              <w:t>Aug.</w:t>
            </w:r>
          </w:p>
        </w:tc>
        <w:tc>
          <w:tcPr>
            <w:tcW w:w="667" w:type="dxa"/>
            <w:vAlign w:val="center"/>
          </w:tcPr>
          <w:p>
            <w:pPr>
              <w:adjustRightInd w:val="0"/>
              <w:snapToGrid w:val="0"/>
              <w:jc w:val="center"/>
              <w:rPr>
                <w:w w:val="80"/>
                <w:szCs w:val="21"/>
              </w:rPr>
            </w:pPr>
            <w:r>
              <w:rPr>
                <w:w w:val="80"/>
                <w:szCs w:val="21"/>
              </w:rPr>
              <w:t>Sept.</w:t>
            </w:r>
          </w:p>
        </w:tc>
        <w:tc>
          <w:tcPr>
            <w:tcW w:w="667" w:type="dxa"/>
            <w:vAlign w:val="center"/>
          </w:tcPr>
          <w:p>
            <w:pPr>
              <w:adjustRightInd w:val="0"/>
              <w:snapToGrid w:val="0"/>
              <w:jc w:val="center"/>
              <w:rPr>
                <w:w w:val="80"/>
                <w:szCs w:val="21"/>
              </w:rPr>
            </w:pPr>
            <w:r>
              <w:rPr>
                <w:w w:val="80"/>
                <w:szCs w:val="21"/>
              </w:rPr>
              <w:t>Oct.</w:t>
            </w:r>
          </w:p>
        </w:tc>
        <w:tc>
          <w:tcPr>
            <w:tcW w:w="667" w:type="dxa"/>
            <w:vAlign w:val="center"/>
          </w:tcPr>
          <w:p>
            <w:pPr>
              <w:adjustRightInd w:val="0"/>
              <w:snapToGrid w:val="0"/>
              <w:jc w:val="center"/>
              <w:rPr>
                <w:w w:val="80"/>
                <w:szCs w:val="21"/>
              </w:rPr>
            </w:pPr>
            <w:r>
              <w:rPr>
                <w:w w:val="80"/>
                <w:szCs w:val="21"/>
              </w:rPr>
              <w:t>Nov.</w:t>
            </w:r>
          </w:p>
        </w:tc>
        <w:tc>
          <w:tcPr>
            <w:tcW w:w="667" w:type="dxa"/>
            <w:vAlign w:val="center"/>
          </w:tcPr>
          <w:p>
            <w:pPr>
              <w:adjustRightInd w:val="0"/>
              <w:snapToGrid w:val="0"/>
              <w:jc w:val="center"/>
              <w:rPr>
                <w:w w:val="80"/>
                <w:szCs w:val="21"/>
              </w:rPr>
            </w:pPr>
            <w:r>
              <w:rPr>
                <w:w w:val="80"/>
                <w:szCs w:val="21"/>
              </w:rPr>
              <w:t>Dec.</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1331" w:type="dxa"/>
            <w:vAlign w:val="center"/>
          </w:tcPr>
          <w:p>
            <w:pPr>
              <w:adjustRightInd w:val="0"/>
              <w:snapToGrid w:val="0"/>
              <w:rPr>
                <w:w w:val="80"/>
                <w:szCs w:val="21"/>
              </w:rPr>
            </w:pPr>
            <w:r>
              <w:rPr>
                <w:w w:val="80"/>
                <w:szCs w:val="21"/>
              </w:rPr>
              <w:t>New commercial housing</w:t>
            </w:r>
          </w:p>
        </w:tc>
        <w:tc>
          <w:tcPr>
            <w:tcW w:w="668" w:type="dxa"/>
            <w:vAlign w:val="center"/>
          </w:tcPr>
          <w:p>
            <w:pPr>
              <w:adjustRightInd w:val="0"/>
              <w:snapToGrid w:val="0"/>
              <w:jc w:val="right"/>
              <w:rPr>
                <w:spacing w:val="-16"/>
                <w:w w:val="80"/>
                <w:szCs w:val="21"/>
              </w:rPr>
            </w:pPr>
            <w:r>
              <w:rPr>
                <w:spacing w:val="-16"/>
                <w:w w:val="80"/>
                <w:szCs w:val="21"/>
              </w:rPr>
              <w:t xml:space="preserve">101.0 </w:t>
            </w:r>
          </w:p>
        </w:tc>
        <w:tc>
          <w:tcPr>
            <w:tcW w:w="668" w:type="dxa"/>
            <w:vAlign w:val="center"/>
          </w:tcPr>
          <w:p>
            <w:pPr>
              <w:adjustRightInd w:val="0"/>
              <w:snapToGrid w:val="0"/>
              <w:jc w:val="right"/>
              <w:rPr>
                <w:spacing w:val="-16"/>
                <w:w w:val="80"/>
                <w:szCs w:val="21"/>
              </w:rPr>
            </w:pPr>
            <w:r>
              <w:rPr>
                <w:spacing w:val="-16"/>
                <w:w w:val="80"/>
                <w:szCs w:val="21"/>
              </w:rPr>
              <w:t xml:space="preserve">100.6 </w:t>
            </w:r>
          </w:p>
        </w:tc>
        <w:tc>
          <w:tcPr>
            <w:tcW w:w="668" w:type="dxa"/>
            <w:vAlign w:val="center"/>
          </w:tcPr>
          <w:p>
            <w:pPr>
              <w:adjustRightInd w:val="0"/>
              <w:snapToGrid w:val="0"/>
              <w:jc w:val="right"/>
              <w:rPr>
                <w:spacing w:val="-16"/>
                <w:w w:val="80"/>
                <w:szCs w:val="21"/>
              </w:rPr>
            </w:pPr>
            <w:r>
              <w:rPr>
                <w:spacing w:val="-16"/>
                <w:w w:val="80"/>
                <w:szCs w:val="21"/>
              </w:rPr>
              <w:t xml:space="preserve">100.4 </w:t>
            </w:r>
          </w:p>
        </w:tc>
        <w:tc>
          <w:tcPr>
            <w:tcW w:w="668" w:type="dxa"/>
            <w:vAlign w:val="center"/>
          </w:tcPr>
          <w:p>
            <w:pPr>
              <w:adjustRightInd w:val="0"/>
              <w:snapToGrid w:val="0"/>
              <w:jc w:val="right"/>
              <w:rPr>
                <w:spacing w:val="-16"/>
                <w:w w:val="80"/>
                <w:szCs w:val="21"/>
              </w:rPr>
            </w:pPr>
            <w:r>
              <w:rPr>
                <w:spacing w:val="-16"/>
                <w:w w:val="80"/>
                <w:szCs w:val="21"/>
              </w:rPr>
              <w:t xml:space="preserve">100.7 </w:t>
            </w:r>
          </w:p>
        </w:tc>
        <w:tc>
          <w:tcPr>
            <w:tcW w:w="667" w:type="dxa"/>
            <w:vAlign w:val="center"/>
          </w:tcPr>
          <w:p>
            <w:pPr>
              <w:adjustRightInd w:val="0"/>
              <w:snapToGrid w:val="0"/>
              <w:jc w:val="right"/>
              <w:rPr>
                <w:spacing w:val="-16"/>
                <w:w w:val="80"/>
                <w:szCs w:val="21"/>
              </w:rPr>
            </w:pPr>
            <w:r>
              <w:rPr>
                <w:spacing w:val="-16"/>
                <w:w w:val="80"/>
                <w:szCs w:val="21"/>
              </w:rPr>
              <w:t xml:space="preserve">100.4 </w:t>
            </w:r>
          </w:p>
        </w:tc>
        <w:tc>
          <w:tcPr>
            <w:tcW w:w="667" w:type="dxa"/>
            <w:vAlign w:val="center"/>
          </w:tcPr>
          <w:p>
            <w:pPr>
              <w:adjustRightInd w:val="0"/>
              <w:snapToGrid w:val="0"/>
              <w:jc w:val="right"/>
              <w:rPr>
                <w:spacing w:val="-16"/>
                <w:w w:val="80"/>
                <w:szCs w:val="21"/>
              </w:rPr>
            </w:pPr>
            <w:r>
              <w:rPr>
                <w:spacing w:val="-16"/>
                <w:w w:val="80"/>
                <w:szCs w:val="21"/>
              </w:rPr>
              <w:t xml:space="preserve">100.8 </w:t>
            </w:r>
          </w:p>
        </w:tc>
        <w:tc>
          <w:tcPr>
            <w:tcW w:w="667" w:type="dxa"/>
            <w:vAlign w:val="center"/>
          </w:tcPr>
          <w:p>
            <w:pPr>
              <w:adjustRightInd w:val="0"/>
              <w:snapToGrid w:val="0"/>
              <w:jc w:val="right"/>
              <w:rPr>
                <w:spacing w:val="-16"/>
                <w:w w:val="80"/>
                <w:szCs w:val="21"/>
              </w:rPr>
            </w:pPr>
            <w:r>
              <w:rPr>
                <w:spacing w:val="-16"/>
                <w:w w:val="80"/>
                <w:szCs w:val="21"/>
              </w:rPr>
              <w:t xml:space="preserve">100.5 </w:t>
            </w:r>
          </w:p>
        </w:tc>
        <w:tc>
          <w:tcPr>
            <w:tcW w:w="667" w:type="dxa"/>
            <w:vAlign w:val="center"/>
          </w:tcPr>
          <w:p>
            <w:pPr>
              <w:adjustRightInd w:val="0"/>
              <w:snapToGrid w:val="0"/>
              <w:jc w:val="right"/>
              <w:rPr>
                <w:spacing w:val="-16"/>
                <w:w w:val="80"/>
                <w:szCs w:val="21"/>
              </w:rPr>
            </w:pPr>
            <w:r>
              <w:rPr>
                <w:spacing w:val="-16"/>
                <w:w w:val="80"/>
                <w:szCs w:val="21"/>
              </w:rPr>
              <w:t xml:space="preserve">100.4 </w:t>
            </w:r>
          </w:p>
        </w:tc>
        <w:tc>
          <w:tcPr>
            <w:tcW w:w="667" w:type="dxa"/>
            <w:vAlign w:val="center"/>
          </w:tcPr>
          <w:p>
            <w:pPr>
              <w:adjustRightInd w:val="0"/>
              <w:snapToGrid w:val="0"/>
              <w:jc w:val="right"/>
              <w:rPr>
                <w:spacing w:val="-16"/>
                <w:w w:val="80"/>
                <w:szCs w:val="21"/>
              </w:rPr>
            </w:pPr>
            <w:r>
              <w:rPr>
                <w:spacing w:val="-16"/>
                <w:w w:val="80"/>
                <w:szCs w:val="21"/>
              </w:rPr>
              <w:t xml:space="preserve">100.2 </w:t>
            </w:r>
          </w:p>
        </w:tc>
        <w:tc>
          <w:tcPr>
            <w:tcW w:w="667" w:type="dxa"/>
            <w:vAlign w:val="center"/>
          </w:tcPr>
          <w:p>
            <w:pPr>
              <w:adjustRightInd w:val="0"/>
              <w:snapToGrid w:val="0"/>
              <w:jc w:val="right"/>
              <w:rPr>
                <w:spacing w:val="-16"/>
                <w:w w:val="80"/>
                <w:szCs w:val="21"/>
              </w:rPr>
            </w:pPr>
            <w:r>
              <w:rPr>
                <w:spacing w:val="-16"/>
                <w:w w:val="80"/>
                <w:szCs w:val="21"/>
              </w:rPr>
              <w:t xml:space="preserve">100.4 </w:t>
            </w:r>
          </w:p>
        </w:tc>
        <w:tc>
          <w:tcPr>
            <w:tcW w:w="667" w:type="dxa"/>
            <w:vAlign w:val="center"/>
          </w:tcPr>
          <w:p>
            <w:pPr>
              <w:adjustRightInd w:val="0"/>
              <w:snapToGrid w:val="0"/>
              <w:jc w:val="right"/>
              <w:rPr>
                <w:spacing w:val="-16"/>
                <w:w w:val="80"/>
                <w:szCs w:val="21"/>
              </w:rPr>
            </w:pPr>
            <w:r>
              <w:rPr>
                <w:spacing w:val="-16"/>
                <w:w w:val="80"/>
                <w:szCs w:val="21"/>
              </w:rPr>
              <w:t>100.1</w:t>
            </w:r>
          </w:p>
        </w:tc>
        <w:tc>
          <w:tcPr>
            <w:tcW w:w="667" w:type="dxa"/>
            <w:vAlign w:val="center"/>
          </w:tcPr>
          <w:p>
            <w:pPr>
              <w:adjustRightInd w:val="0"/>
              <w:snapToGrid w:val="0"/>
              <w:jc w:val="right"/>
              <w:rPr>
                <w:spacing w:val="-16"/>
                <w:w w:val="80"/>
                <w:szCs w:val="21"/>
              </w:rPr>
            </w:pPr>
            <w:r>
              <w:rPr>
                <w:spacing w:val="-16"/>
                <w:w w:val="80"/>
                <w:szCs w:val="21"/>
              </w:rPr>
              <w:t>100.2</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747" w:hRule="atLeast"/>
          <w:jc w:val="center"/>
        </w:trPr>
        <w:tc>
          <w:tcPr>
            <w:tcW w:w="1331" w:type="dxa"/>
            <w:vAlign w:val="center"/>
          </w:tcPr>
          <w:p>
            <w:pPr>
              <w:adjustRightInd w:val="0"/>
              <w:snapToGrid w:val="0"/>
              <w:rPr>
                <w:w w:val="80"/>
                <w:szCs w:val="21"/>
              </w:rPr>
            </w:pPr>
            <w:r>
              <w:rPr>
                <w:w w:val="80"/>
                <w:szCs w:val="21"/>
              </w:rPr>
              <w:t>Second-hand housing</w:t>
            </w:r>
          </w:p>
        </w:tc>
        <w:tc>
          <w:tcPr>
            <w:tcW w:w="668" w:type="dxa"/>
            <w:vAlign w:val="center"/>
          </w:tcPr>
          <w:p>
            <w:pPr>
              <w:adjustRightInd w:val="0"/>
              <w:snapToGrid w:val="0"/>
              <w:jc w:val="right"/>
              <w:rPr>
                <w:spacing w:val="-16"/>
                <w:w w:val="80"/>
                <w:szCs w:val="21"/>
              </w:rPr>
            </w:pPr>
            <w:r>
              <w:rPr>
                <w:spacing w:val="-16"/>
                <w:w w:val="80"/>
                <w:szCs w:val="21"/>
              </w:rPr>
              <w:t xml:space="preserve">100.5 </w:t>
            </w:r>
          </w:p>
        </w:tc>
        <w:tc>
          <w:tcPr>
            <w:tcW w:w="668" w:type="dxa"/>
            <w:vAlign w:val="center"/>
          </w:tcPr>
          <w:p>
            <w:pPr>
              <w:adjustRightInd w:val="0"/>
              <w:snapToGrid w:val="0"/>
              <w:jc w:val="right"/>
              <w:rPr>
                <w:spacing w:val="-16"/>
                <w:w w:val="80"/>
                <w:szCs w:val="21"/>
              </w:rPr>
            </w:pPr>
            <w:r>
              <w:rPr>
                <w:spacing w:val="-16"/>
                <w:w w:val="80"/>
                <w:szCs w:val="21"/>
              </w:rPr>
              <w:t>100.7</w:t>
            </w:r>
          </w:p>
        </w:tc>
        <w:tc>
          <w:tcPr>
            <w:tcW w:w="668" w:type="dxa"/>
            <w:vAlign w:val="center"/>
          </w:tcPr>
          <w:p>
            <w:pPr>
              <w:adjustRightInd w:val="0"/>
              <w:snapToGrid w:val="0"/>
              <w:jc w:val="right"/>
              <w:rPr>
                <w:spacing w:val="-16"/>
                <w:w w:val="80"/>
                <w:szCs w:val="21"/>
              </w:rPr>
            </w:pPr>
            <w:r>
              <w:rPr>
                <w:spacing w:val="-16"/>
                <w:w w:val="80"/>
                <w:szCs w:val="21"/>
              </w:rPr>
              <w:t xml:space="preserve">101.2 </w:t>
            </w:r>
          </w:p>
        </w:tc>
        <w:tc>
          <w:tcPr>
            <w:tcW w:w="668" w:type="dxa"/>
            <w:vAlign w:val="center"/>
          </w:tcPr>
          <w:p>
            <w:pPr>
              <w:adjustRightInd w:val="0"/>
              <w:snapToGrid w:val="0"/>
              <w:jc w:val="right"/>
              <w:rPr>
                <w:spacing w:val="-16"/>
                <w:w w:val="80"/>
                <w:szCs w:val="21"/>
              </w:rPr>
            </w:pPr>
            <w:r>
              <w:rPr>
                <w:spacing w:val="-16"/>
                <w:w w:val="80"/>
                <w:szCs w:val="21"/>
              </w:rPr>
              <w:t xml:space="preserve">100.6 </w:t>
            </w:r>
          </w:p>
        </w:tc>
        <w:tc>
          <w:tcPr>
            <w:tcW w:w="667" w:type="dxa"/>
            <w:vAlign w:val="center"/>
          </w:tcPr>
          <w:p>
            <w:pPr>
              <w:adjustRightInd w:val="0"/>
              <w:snapToGrid w:val="0"/>
              <w:jc w:val="right"/>
              <w:rPr>
                <w:spacing w:val="-16"/>
                <w:w w:val="80"/>
                <w:szCs w:val="21"/>
              </w:rPr>
            </w:pPr>
            <w:r>
              <w:rPr>
                <w:spacing w:val="-16"/>
                <w:w w:val="80"/>
                <w:szCs w:val="21"/>
              </w:rPr>
              <w:t xml:space="preserve">99.9 </w:t>
            </w:r>
          </w:p>
        </w:tc>
        <w:tc>
          <w:tcPr>
            <w:tcW w:w="667" w:type="dxa"/>
            <w:vAlign w:val="center"/>
          </w:tcPr>
          <w:p>
            <w:pPr>
              <w:adjustRightInd w:val="0"/>
              <w:snapToGrid w:val="0"/>
              <w:jc w:val="right"/>
              <w:rPr>
                <w:spacing w:val="-16"/>
                <w:w w:val="80"/>
                <w:szCs w:val="21"/>
              </w:rPr>
            </w:pPr>
            <w:r>
              <w:rPr>
                <w:spacing w:val="-16"/>
                <w:w w:val="80"/>
                <w:szCs w:val="21"/>
              </w:rPr>
              <w:t xml:space="preserve">100.5 </w:t>
            </w:r>
          </w:p>
        </w:tc>
        <w:tc>
          <w:tcPr>
            <w:tcW w:w="667" w:type="dxa"/>
            <w:vAlign w:val="center"/>
          </w:tcPr>
          <w:p>
            <w:pPr>
              <w:adjustRightInd w:val="0"/>
              <w:snapToGrid w:val="0"/>
              <w:jc w:val="right"/>
              <w:rPr>
                <w:spacing w:val="-16"/>
                <w:w w:val="80"/>
                <w:szCs w:val="21"/>
              </w:rPr>
            </w:pPr>
            <w:r>
              <w:rPr>
                <w:spacing w:val="-16"/>
                <w:w w:val="80"/>
                <w:szCs w:val="21"/>
              </w:rPr>
              <w:t xml:space="preserve">100.2 </w:t>
            </w:r>
          </w:p>
        </w:tc>
        <w:tc>
          <w:tcPr>
            <w:tcW w:w="667" w:type="dxa"/>
            <w:vAlign w:val="center"/>
          </w:tcPr>
          <w:p>
            <w:pPr>
              <w:adjustRightInd w:val="0"/>
              <w:snapToGrid w:val="0"/>
              <w:jc w:val="right"/>
              <w:rPr>
                <w:spacing w:val="-16"/>
                <w:w w:val="80"/>
                <w:szCs w:val="21"/>
              </w:rPr>
            </w:pPr>
            <w:r>
              <w:rPr>
                <w:spacing w:val="-16"/>
                <w:w w:val="80"/>
                <w:szCs w:val="21"/>
              </w:rPr>
              <w:t xml:space="preserve">100.2 </w:t>
            </w:r>
          </w:p>
        </w:tc>
        <w:tc>
          <w:tcPr>
            <w:tcW w:w="667" w:type="dxa"/>
            <w:vAlign w:val="center"/>
          </w:tcPr>
          <w:p>
            <w:pPr>
              <w:adjustRightInd w:val="0"/>
              <w:snapToGrid w:val="0"/>
              <w:jc w:val="right"/>
              <w:rPr>
                <w:spacing w:val="-16"/>
                <w:w w:val="80"/>
                <w:szCs w:val="21"/>
              </w:rPr>
            </w:pPr>
            <w:r>
              <w:rPr>
                <w:spacing w:val="-16"/>
                <w:w w:val="80"/>
                <w:szCs w:val="21"/>
              </w:rPr>
              <w:t xml:space="preserve">100.4 </w:t>
            </w:r>
          </w:p>
        </w:tc>
        <w:tc>
          <w:tcPr>
            <w:tcW w:w="667" w:type="dxa"/>
            <w:vAlign w:val="center"/>
          </w:tcPr>
          <w:p>
            <w:pPr>
              <w:adjustRightInd w:val="0"/>
              <w:snapToGrid w:val="0"/>
              <w:jc w:val="right"/>
              <w:rPr>
                <w:spacing w:val="-16"/>
                <w:w w:val="80"/>
                <w:szCs w:val="21"/>
              </w:rPr>
            </w:pPr>
            <w:r>
              <w:rPr>
                <w:spacing w:val="-16"/>
                <w:w w:val="80"/>
                <w:szCs w:val="21"/>
              </w:rPr>
              <w:t xml:space="preserve">100.1 </w:t>
            </w:r>
          </w:p>
        </w:tc>
        <w:tc>
          <w:tcPr>
            <w:tcW w:w="667" w:type="dxa"/>
            <w:vAlign w:val="center"/>
          </w:tcPr>
          <w:p>
            <w:pPr>
              <w:adjustRightInd w:val="0"/>
              <w:snapToGrid w:val="0"/>
              <w:jc w:val="right"/>
              <w:rPr>
                <w:spacing w:val="-16"/>
                <w:w w:val="80"/>
                <w:szCs w:val="21"/>
              </w:rPr>
            </w:pPr>
            <w:r>
              <w:rPr>
                <w:spacing w:val="-16"/>
                <w:w w:val="80"/>
                <w:szCs w:val="21"/>
              </w:rPr>
              <w:t>99.8</w:t>
            </w:r>
          </w:p>
        </w:tc>
        <w:tc>
          <w:tcPr>
            <w:tcW w:w="667" w:type="dxa"/>
            <w:vAlign w:val="center"/>
          </w:tcPr>
          <w:p>
            <w:pPr>
              <w:adjustRightInd w:val="0"/>
              <w:snapToGrid w:val="0"/>
              <w:jc w:val="right"/>
              <w:rPr>
                <w:spacing w:val="-16"/>
                <w:w w:val="80"/>
                <w:szCs w:val="21"/>
              </w:rPr>
            </w:pPr>
            <w:r>
              <w:rPr>
                <w:spacing w:val="-16"/>
                <w:w w:val="80"/>
                <w:szCs w:val="21"/>
              </w:rPr>
              <w:t>99.6</w:t>
            </w:r>
          </w:p>
        </w:tc>
      </w:tr>
      <w:bookmarkEnd w:id="6"/>
    </w:tbl>
    <w:p>
      <w:pPr>
        <w:rPr>
          <w:b/>
          <w:sz w:val="28"/>
          <w:szCs w:val="28"/>
        </w:rPr>
      </w:pPr>
      <w:r>
        <w:rPr>
          <w:b/>
          <w:sz w:val="28"/>
          <w:szCs w:val="28"/>
        </w:rPr>
        <w:t>II. Agriculture</w:t>
      </w:r>
    </w:p>
    <w:p>
      <w:pPr>
        <w:rPr>
          <w:color w:val="auto"/>
          <w:sz w:val="28"/>
          <w:szCs w:val="28"/>
          <w:shd w:val="clear" w:color="auto" w:fill="auto"/>
        </w:rPr>
      </w:pPr>
      <w:r>
        <w:rPr>
          <w:sz w:val="28"/>
          <w:szCs w:val="28"/>
        </w:rPr>
        <w:t>T</w:t>
      </w:r>
      <w:r>
        <w:rPr>
          <w:color w:val="auto"/>
          <w:sz w:val="28"/>
          <w:szCs w:val="28"/>
          <w:shd w:val="clear" w:color="auto" w:fill="auto"/>
        </w:rPr>
        <w:t xml:space="preserve">he gross output of agriculture, forestry, animal production and hunting, fishing reached RMB </w:t>
      </w:r>
      <w:r>
        <w:rPr>
          <w:rFonts w:hint="eastAsia"/>
          <w:color w:val="auto"/>
          <w:sz w:val="28"/>
          <w:szCs w:val="28"/>
          <w:shd w:val="clear" w:color="auto" w:fill="auto"/>
        </w:rPr>
        <w:t>2</w:t>
      </w:r>
      <w:r>
        <w:rPr>
          <w:color w:val="auto"/>
          <w:sz w:val="28"/>
          <w:szCs w:val="28"/>
          <w:shd w:val="clear" w:color="auto" w:fill="auto"/>
        </w:rPr>
        <w:t>6.82 billion, down by 2.0% over the previous year at comparable price. Of which, the output value of agriculture (planting industry) reached RMB 12.98 billion, up by 2.3%; that of forestry reached RMB 8.65 billion, up by 1.4%. The sown area of grain crops totaled 77 thousands hectares in 2022, up by 26.0%,</w:t>
      </w:r>
      <w:r>
        <w:rPr>
          <w:rFonts w:hint="eastAsia"/>
          <w:color w:val="auto"/>
          <w:sz w:val="28"/>
          <w:szCs w:val="28"/>
          <w:shd w:val="clear" w:color="auto" w:fill="auto"/>
          <w:lang w:val="en-US" w:eastAsia="zh-CN"/>
        </w:rPr>
        <w:t xml:space="preserve"> </w:t>
      </w:r>
      <w:r>
        <w:rPr>
          <w:color w:val="auto"/>
          <w:sz w:val="28"/>
          <w:szCs w:val="28"/>
          <w:shd w:val="clear" w:color="auto" w:fill="auto"/>
        </w:rPr>
        <w:t xml:space="preserve">the gross output of grain totaled 454 thousands, up by 20.1%; that of </w:t>
      </w:r>
      <w:r>
        <w:rPr>
          <w:rFonts w:hint="eastAsia"/>
          <w:color w:val="auto"/>
          <w:sz w:val="28"/>
          <w:szCs w:val="28"/>
          <w:shd w:val="clear" w:color="auto" w:fill="auto"/>
        </w:rPr>
        <w:t xml:space="preserve">vegetables and edible mushrooms </w:t>
      </w:r>
      <w:r>
        <w:rPr>
          <w:color w:val="auto"/>
          <w:sz w:val="28"/>
          <w:szCs w:val="28"/>
          <w:shd w:val="clear" w:color="auto" w:fill="auto"/>
        </w:rPr>
        <w:t>totaled 1.989 million tons, up by 20.1%;</w:t>
      </w:r>
      <w:r>
        <w:rPr>
          <w:rFonts w:hint="eastAsia"/>
          <w:color w:val="auto"/>
          <w:sz w:val="28"/>
          <w:szCs w:val="28"/>
          <w:shd w:val="clear" w:color="auto" w:fill="auto"/>
        </w:rPr>
        <w:t xml:space="preserve"> the</w:t>
      </w:r>
      <w:r>
        <w:rPr>
          <w:color w:val="auto"/>
          <w:sz w:val="28"/>
          <w:szCs w:val="28"/>
          <w:shd w:val="clear" w:color="auto" w:fill="auto"/>
        </w:rPr>
        <w:t xml:space="preserve"> pig stock by the end of 2022 was 368 thousands, decreasing </w:t>
      </w:r>
      <w:r>
        <w:rPr>
          <w:rFonts w:hint="eastAsia"/>
          <w:color w:val="auto"/>
          <w:sz w:val="28"/>
          <w:szCs w:val="28"/>
          <w:shd w:val="clear" w:color="auto" w:fill="auto"/>
        </w:rPr>
        <w:t>by</w:t>
      </w:r>
      <w:r>
        <w:rPr>
          <w:color w:val="auto"/>
          <w:sz w:val="28"/>
          <w:szCs w:val="28"/>
          <w:shd w:val="clear" w:color="auto" w:fill="auto"/>
        </w:rPr>
        <w:t xml:space="preserve"> 37.7%</w:t>
      </w:r>
      <w:r>
        <w:rPr>
          <w:rFonts w:hint="eastAsia"/>
          <w:color w:val="auto"/>
          <w:sz w:val="28"/>
          <w:szCs w:val="28"/>
          <w:shd w:val="clear" w:color="auto" w:fill="auto"/>
        </w:rPr>
        <w:t>,</w:t>
      </w:r>
      <w:r>
        <w:rPr>
          <w:color w:val="auto"/>
          <w:sz w:val="28"/>
          <w:szCs w:val="28"/>
          <w:shd w:val="clear" w:color="auto" w:fill="auto"/>
        </w:rPr>
        <w:t xml:space="preserve"> the number of slaughtered pigs was 322 thousands, increasing by 4.3%. The s</w:t>
      </w:r>
      <w:r>
        <w:rPr>
          <w:rFonts w:hint="eastAsia"/>
          <w:color w:val="auto"/>
          <w:sz w:val="28"/>
          <w:szCs w:val="28"/>
          <w:shd w:val="clear" w:color="auto" w:fill="auto"/>
          <w:lang w:val="en-US" w:eastAsia="zh-CN"/>
        </w:rPr>
        <w:t>o</w:t>
      </w:r>
      <w:r>
        <w:rPr>
          <w:color w:val="auto"/>
          <w:sz w:val="28"/>
          <w:szCs w:val="28"/>
          <w:shd w:val="clear" w:color="auto" w:fill="auto"/>
        </w:rPr>
        <w:t>wn area of facility agriculture totaled 487</w:t>
      </w:r>
      <w:r>
        <w:rPr>
          <w:rFonts w:hint="eastAsia"/>
          <w:color w:val="auto"/>
          <w:sz w:val="28"/>
          <w:szCs w:val="28"/>
          <w:shd w:val="clear" w:color="auto" w:fill="auto"/>
        </w:rPr>
        <w:t xml:space="preserve"> </w:t>
      </w:r>
      <w:r>
        <w:rPr>
          <w:color w:val="auto"/>
          <w:sz w:val="28"/>
          <w:szCs w:val="28"/>
          <w:shd w:val="clear" w:color="auto" w:fill="auto"/>
        </w:rPr>
        <w:t>thousands mu, with realized output value of RMB 5.98 billion, increasing by 4.3% and 3.3% respectively. The number of agricultural sightseeing gardens registered 1,027,</w:t>
      </w:r>
      <w:r>
        <w:rPr>
          <w:rFonts w:hint="eastAsia"/>
          <w:color w:val="auto"/>
          <w:sz w:val="28"/>
          <w:szCs w:val="28"/>
          <w:shd w:val="clear" w:color="auto" w:fill="auto"/>
        </w:rPr>
        <w:t xml:space="preserve"> </w:t>
      </w:r>
      <w:r>
        <w:rPr>
          <w:color w:val="auto"/>
          <w:sz w:val="28"/>
          <w:szCs w:val="28"/>
          <w:shd w:val="clear" w:color="auto" w:fill="auto"/>
        </w:rPr>
        <w:t xml:space="preserve">with realized total income of RMB 1.84 billion. There were 7,105 rural tourism reception units (households) that were in actual operation, with realized total income of RMB 1.37 </w:t>
      </w:r>
      <w:r>
        <w:rPr>
          <w:rFonts w:hint="eastAsia"/>
          <w:color w:val="auto"/>
          <w:sz w:val="28"/>
          <w:szCs w:val="28"/>
          <w:shd w:val="clear" w:color="auto" w:fill="auto"/>
        </w:rPr>
        <w:t>b</w:t>
      </w:r>
      <w:r>
        <w:rPr>
          <w:color w:val="auto"/>
          <w:sz w:val="28"/>
          <w:szCs w:val="28"/>
          <w:shd w:val="clear" w:color="auto" w:fill="auto"/>
        </w:rPr>
        <w:t xml:space="preserve">illion. </w:t>
      </w:r>
    </w:p>
    <w:p>
      <w:pPr>
        <w:rPr>
          <w:color w:val="auto"/>
          <w:sz w:val="28"/>
          <w:szCs w:val="28"/>
          <w:shd w:val="clear" w:color="auto" w:fill="auto"/>
        </w:rPr>
      </w:pPr>
      <w:bookmarkStart w:id="7" w:name="_Toc379894709"/>
      <w:r>
        <w:rPr>
          <w:b/>
          <w:color w:val="auto"/>
          <w:sz w:val="28"/>
          <w:szCs w:val="28"/>
          <w:shd w:val="clear" w:color="auto" w:fill="auto"/>
        </w:rPr>
        <w:t>III. Industry and Construction</w:t>
      </w:r>
      <w:bookmarkEnd w:id="7"/>
    </w:p>
    <w:p>
      <w:pPr>
        <w:rPr>
          <w:sz w:val="28"/>
          <w:szCs w:val="28"/>
        </w:rPr>
      </w:pPr>
      <w:r>
        <w:rPr>
          <w:b/>
          <w:color w:val="auto"/>
          <w:sz w:val="28"/>
          <w:szCs w:val="28"/>
          <w:shd w:val="clear" w:color="auto" w:fill="auto"/>
        </w:rPr>
        <w:t>Industry:</w:t>
      </w:r>
      <w:r>
        <w:rPr>
          <w:rFonts w:hint="eastAsia"/>
          <w:b/>
          <w:color w:val="auto"/>
          <w:sz w:val="28"/>
          <w:szCs w:val="28"/>
          <w:shd w:val="clear" w:color="auto" w:fill="auto"/>
        </w:rPr>
        <w:t xml:space="preserve"> </w:t>
      </w:r>
      <w:r>
        <w:rPr>
          <w:color w:val="auto"/>
          <w:sz w:val="28"/>
          <w:szCs w:val="28"/>
          <w:shd w:val="clear" w:color="auto" w:fill="auto"/>
        </w:rPr>
        <w:t>The industrial added value of 2022</w:t>
      </w:r>
      <w:r>
        <w:rPr>
          <w:rFonts w:hint="eastAsia"/>
          <w:color w:val="auto"/>
          <w:sz w:val="28"/>
          <w:szCs w:val="28"/>
          <w:shd w:val="clear" w:color="auto" w:fill="auto"/>
        </w:rPr>
        <w:t xml:space="preserve"> </w:t>
      </w:r>
      <w:r>
        <w:rPr>
          <w:color w:val="auto"/>
          <w:sz w:val="28"/>
          <w:szCs w:val="28"/>
          <w:shd w:val="clear" w:color="auto" w:fill="auto"/>
        </w:rPr>
        <w:t>was RMB 503.64 billion, with a decrease of 14.6% over the previous year</w:t>
      </w:r>
      <w:r>
        <w:rPr>
          <w:rFonts w:hint="eastAsia"/>
          <w:color w:val="auto"/>
          <w:sz w:val="28"/>
          <w:szCs w:val="28"/>
          <w:shd w:val="clear" w:color="auto" w:fill="auto"/>
        </w:rPr>
        <w:t xml:space="preserve"> </w:t>
      </w:r>
      <w:r>
        <w:rPr>
          <w:color w:val="auto"/>
          <w:sz w:val="28"/>
          <w:szCs w:val="28"/>
          <w:shd w:val="clear" w:color="auto" w:fill="auto"/>
        </w:rPr>
        <w:t xml:space="preserve">at constant price. </w:t>
      </w:r>
      <w:r>
        <w:rPr>
          <w:rFonts w:hint="eastAsia"/>
          <w:color w:val="auto"/>
          <w:sz w:val="28"/>
          <w:szCs w:val="28"/>
          <w:shd w:val="clear" w:color="auto" w:fill="auto"/>
        </w:rPr>
        <w:t>Of which, t</w:t>
      </w:r>
      <w:r>
        <w:rPr>
          <w:color w:val="auto"/>
          <w:sz w:val="28"/>
          <w:szCs w:val="28"/>
          <w:shd w:val="clear" w:color="auto" w:fill="auto"/>
        </w:rPr>
        <w:t>he added value of industries above designated size</w:t>
      </w:r>
      <w:r>
        <w:rPr>
          <w:rStyle w:val="18"/>
          <w:color w:val="auto"/>
          <w:sz w:val="28"/>
          <w:szCs w:val="28"/>
          <w:shd w:val="clear" w:color="auto" w:fill="auto"/>
        </w:rPr>
        <w:endnoteReference w:id="3" w:customMarkFollows="1"/>
        <w:t>[4]</w:t>
      </w:r>
      <w:r>
        <w:rPr>
          <w:color w:val="auto"/>
          <w:sz w:val="28"/>
          <w:szCs w:val="28"/>
          <w:shd w:val="clear" w:color="auto" w:fill="auto"/>
        </w:rPr>
        <w:t xml:space="preserve"> fell by 16.7%, and rose by 2.5% if eliminating the factor of COVID-19 vaccine production. Thereinto</w:t>
      </w:r>
      <w:r>
        <w:rPr>
          <w:rFonts w:hint="eastAsia"/>
          <w:color w:val="auto"/>
          <w:sz w:val="28"/>
          <w:szCs w:val="28"/>
          <w:shd w:val="clear" w:color="auto" w:fill="auto"/>
        </w:rPr>
        <w:t>,</w:t>
      </w:r>
      <w:r>
        <w:rPr>
          <w:color w:val="auto"/>
          <w:sz w:val="28"/>
          <w:szCs w:val="28"/>
          <w:shd w:val="clear" w:color="auto" w:fill="auto"/>
        </w:rPr>
        <w:t xml:space="preserve"> the added</w:t>
      </w:r>
      <w:r>
        <w:rPr>
          <w:rFonts w:hint="eastAsia"/>
          <w:color w:val="auto"/>
          <w:sz w:val="28"/>
          <w:szCs w:val="28"/>
          <w:shd w:val="clear" w:color="auto" w:fill="auto"/>
        </w:rPr>
        <w:t xml:space="preserve"> value</w:t>
      </w:r>
      <w:r>
        <w:rPr>
          <w:color w:val="auto"/>
          <w:sz w:val="28"/>
          <w:szCs w:val="28"/>
          <w:shd w:val="clear" w:color="auto" w:fill="auto"/>
        </w:rPr>
        <w:t xml:space="preserve"> of the sector of production and supply of electronic power and heat power rose by 9.8%</w:t>
      </w:r>
      <w:r>
        <w:rPr>
          <w:color w:val="auto"/>
          <w:sz w:val="28"/>
          <w:szCs w:val="28"/>
          <w:shd w:val="clear" w:color="auto" w:fill="auto"/>
          <w:lang w:val="en"/>
        </w:rPr>
        <w:t xml:space="preserve">, </w:t>
      </w:r>
      <w:r>
        <w:rPr>
          <w:color w:val="auto"/>
          <w:sz w:val="28"/>
          <w:szCs w:val="28"/>
          <w:shd w:val="clear" w:color="auto" w:fill="auto"/>
        </w:rPr>
        <w:t>that of the sector of manufacture of computer, communication equipment and other electronic equipment rose by 3.6%,</w:t>
      </w:r>
      <w:r>
        <w:rPr>
          <w:rFonts w:hint="eastAsia"/>
          <w:color w:val="auto"/>
          <w:sz w:val="28"/>
          <w:szCs w:val="28"/>
          <w:shd w:val="clear" w:color="auto" w:fill="auto"/>
        </w:rPr>
        <w:t xml:space="preserve"> </w:t>
      </w:r>
      <w:r>
        <w:rPr>
          <w:color w:val="auto"/>
          <w:sz w:val="28"/>
          <w:szCs w:val="28"/>
          <w:shd w:val="clear" w:color="auto" w:fill="auto"/>
        </w:rPr>
        <w:t xml:space="preserve">that of </w:t>
      </w:r>
      <w:r>
        <w:rPr>
          <w:rFonts w:hint="eastAsia"/>
          <w:color w:val="auto"/>
          <w:sz w:val="28"/>
          <w:szCs w:val="28"/>
          <w:shd w:val="clear" w:color="auto" w:fill="auto"/>
        </w:rPr>
        <w:t>the</w:t>
      </w:r>
      <w:r>
        <w:rPr>
          <w:color w:val="auto"/>
          <w:sz w:val="28"/>
          <w:szCs w:val="28"/>
          <w:shd w:val="clear" w:color="auto" w:fill="auto"/>
        </w:rPr>
        <w:t xml:space="preserve"> sector of manufacture of motor vehicles fell by 2.6%</w:t>
      </w:r>
      <w:r>
        <w:rPr>
          <w:rFonts w:hint="eastAsia"/>
          <w:color w:val="auto"/>
          <w:sz w:val="28"/>
          <w:szCs w:val="28"/>
          <w:shd w:val="clear" w:color="auto" w:fill="auto"/>
        </w:rPr>
        <w:t>,</w:t>
      </w:r>
      <w:r>
        <w:rPr>
          <w:color w:val="auto"/>
          <w:sz w:val="28"/>
          <w:szCs w:val="28"/>
          <w:shd w:val="clear" w:color="auto" w:fill="auto"/>
        </w:rPr>
        <w:t xml:space="preserve"> and that of the sector of manufacture of medicines fel</w:t>
      </w:r>
      <w:r>
        <w:rPr>
          <w:rFonts w:hint="eastAsia"/>
          <w:color w:val="auto"/>
          <w:sz w:val="28"/>
          <w:szCs w:val="28"/>
          <w:shd w:val="clear" w:color="auto" w:fill="auto"/>
        </w:rPr>
        <w:t>l</w:t>
      </w:r>
      <w:r>
        <w:rPr>
          <w:color w:val="auto"/>
          <w:sz w:val="28"/>
          <w:szCs w:val="28"/>
          <w:shd w:val="clear" w:color="auto" w:fill="auto"/>
        </w:rPr>
        <w:t xml:space="preserve"> by </w:t>
      </w:r>
      <w:r>
        <w:rPr>
          <w:rFonts w:hint="eastAsia"/>
          <w:color w:val="auto"/>
          <w:sz w:val="28"/>
          <w:szCs w:val="28"/>
          <w:shd w:val="clear" w:color="auto" w:fill="auto"/>
        </w:rPr>
        <w:t>58.3</w:t>
      </w:r>
      <w:r>
        <w:rPr>
          <w:color w:val="auto"/>
          <w:sz w:val="28"/>
          <w:szCs w:val="28"/>
          <w:shd w:val="clear" w:color="auto" w:fill="auto"/>
        </w:rPr>
        <w:t xml:space="preserve">% </w:t>
      </w:r>
      <w:r>
        <w:rPr>
          <w:rFonts w:hint="eastAsia"/>
          <w:color w:val="auto"/>
          <w:sz w:val="28"/>
          <w:szCs w:val="28"/>
          <w:shd w:val="clear" w:color="auto" w:fill="auto"/>
        </w:rPr>
        <w:t>(</w:t>
      </w:r>
      <w:r>
        <w:rPr>
          <w:color w:val="auto"/>
          <w:sz w:val="28"/>
          <w:szCs w:val="28"/>
          <w:shd w:val="clear" w:color="auto" w:fill="auto"/>
        </w:rPr>
        <w:t xml:space="preserve">rose by </w:t>
      </w:r>
      <w:r>
        <w:rPr>
          <w:rFonts w:hint="eastAsia"/>
          <w:color w:val="auto"/>
          <w:sz w:val="28"/>
          <w:szCs w:val="28"/>
          <w:shd w:val="clear" w:color="auto" w:fill="auto"/>
        </w:rPr>
        <w:t>6.4</w:t>
      </w:r>
      <w:r>
        <w:rPr>
          <w:color w:val="auto"/>
          <w:sz w:val="28"/>
          <w:szCs w:val="28"/>
          <w:shd w:val="clear" w:color="auto" w:fill="auto"/>
        </w:rPr>
        <w:t>% after eliminating the factor of COVID-19 vaccine production</w:t>
      </w:r>
      <w:r>
        <w:rPr>
          <w:rFonts w:hint="eastAsia"/>
          <w:color w:val="auto"/>
          <w:sz w:val="28"/>
          <w:szCs w:val="28"/>
          <w:shd w:val="clear" w:color="auto" w:fill="auto"/>
        </w:rPr>
        <w:t>)</w:t>
      </w:r>
      <w:r>
        <w:rPr>
          <w:color w:val="auto"/>
          <w:sz w:val="28"/>
          <w:szCs w:val="28"/>
          <w:shd w:val="clear" w:color="auto" w:fill="auto"/>
        </w:rPr>
        <w:t xml:space="preserve">. The sales value of industrial enterprises above designated size was RMB 2,236.63 billion, down by 5.7%. Of which, the </w:t>
      </w:r>
      <w:r>
        <w:rPr>
          <w:sz w:val="28"/>
          <w:szCs w:val="28"/>
        </w:rPr>
        <w:t>domestic sales value reached RMB 2,056.05 billion, down by 1.8%; the delivery value of export hit RMB 180.58 billion, down by 35.0%.</w:t>
      </w:r>
    </w:p>
    <w:p>
      <w:pPr>
        <w:jc w:val="center"/>
        <w:rPr>
          <w:rFonts w:ascii="宋体" w:hAnsi="宋体"/>
          <w:b/>
          <w:sz w:val="28"/>
          <w:szCs w:val="28"/>
        </w:rPr>
      </w:pPr>
      <w:bookmarkStart w:id="8" w:name="_Toc379894710"/>
      <w:r>
        <w:rPr>
          <w:b/>
          <w:sz w:val="24"/>
        </w:rPr>
        <w:t>Figure 3: Industrial Added Value and Growth Rates from 2018 to 2022</w:t>
      </w:r>
    </w:p>
    <w:p>
      <w:pPr>
        <w:jc w:val="center"/>
        <w:rPr>
          <w:b/>
          <w:sz w:val="28"/>
          <w:szCs w:val="28"/>
        </w:rPr>
      </w:pPr>
    </w:p>
    <w:p>
      <w:pPr>
        <w:jc w:val="center"/>
        <w:rPr>
          <w:b/>
          <w:sz w:val="28"/>
          <w:szCs w:val="28"/>
        </w:rPr>
      </w:pPr>
      <w:r>
        <w:drawing>
          <wp:inline distT="0" distB="0" distL="0" distR="0">
            <wp:extent cx="5410835" cy="2775585"/>
            <wp:effectExtent l="0" t="0" r="18415" b="5715"/>
            <wp:docPr id="75" name="图表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center"/>
        <w:rPr>
          <w:b/>
          <w:sz w:val="24"/>
        </w:rPr>
      </w:pPr>
      <w:r>
        <w:rPr>
          <w:b/>
          <w:sz w:val="24"/>
        </w:rPr>
        <w:t>Table 5: Growth Rates of Added</w:t>
      </w:r>
      <w:r>
        <w:rPr>
          <w:rFonts w:hint="eastAsia"/>
          <w:b/>
          <w:sz w:val="24"/>
        </w:rPr>
        <w:t xml:space="preserve"> </w:t>
      </w:r>
      <w:r>
        <w:rPr>
          <w:b/>
          <w:sz w:val="24"/>
        </w:rPr>
        <w:t>Value of Main Monitored Sectors of Industries above Designated Size in 2022</w:t>
      </w:r>
    </w:p>
    <w:p>
      <w:pPr>
        <w:tabs>
          <w:tab w:val="left" w:pos="7243"/>
          <w:tab w:val="right" w:pos="8844"/>
        </w:tabs>
        <w:jc w:val="left"/>
        <w:rPr>
          <w:szCs w:val="21"/>
        </w:rPr>
      </w:pPr>
      <w:r>
        <w:rPr>
          <w:szCs w:val="21"/>
        </w:rPr>
        <w:tab/>
      </w:r>
      <w:r>
        <w:rPr>
          <w:rFonts w:hint="default"/>
          <w:szCs w:val="21"/>
          <w:lang w:val="en"/>
        </w:rPr>
        <w:t xml:space="preserve">   </w:t>
      </w:r>
      <w:r>
        <w:rPr>
          <w:rFonts w:hint="eastAsia"/>
          <w:szCs w:val="21"/>
        </w:rPr>
        <w:t xml:space="preserve">     </w:t>
      </w:r>
      <w:r>
        <w:rPr>
          <w:szCs w:val="21"/>
        </w:rPr>
        <w:t>Unit: %</w:t>
      </w:r>
    </w:p>
    <w:tbl>
      <w:tblPr>
        <w:tblStyle w:val="14"/>
        <w:tblW w:w="897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6241"/>
        <w:gridCol w:w="1469"/>
        <w:gridCol w:w="126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28" w:hRule="atLeast"/>
          <w:jc w:val="center"/>
        </w:trPr>
        <w:tc>
          <w:tcPr>
            <w:tcW w:w="6241" w:type="dxa"/>
            <w:tcMar>
              <w:top w:w="20" w:type="dxa"/>
              <w:left w:w="20" w:type="dxa"/>
              <w:bottom w:w="0" w:type="dxa"/>
              <w:right w:w="20" w:type="dxa"/>
            </w:tcMar>
            <w:vAlign w:val="center"/>
          </w:tcPr>
          <w:p>
            <w:pPr>
              <w:spacing w:line="300" w:lineRule="exact"/>
              <w:jc w:val="center"/>
              <w:rPr>
                <w:szCs w:val="21"/>
              </w:rPr>
            </w:pPr>
            <w:r>
              <w:rPr>
                <w:szCs w:val="21"/>
              </w:rPr>
              <w:t>Sectors</w:t>
            </w:r>
          </w:p>
        </w:tc>
        <w:tc>
          <w:tcPr>
            <w:tcW w:w="1469" w:type="dxa"/>
            <w:tcMar>
              <w:top w:w="20" w:type="dxa"/>
              <w:left w:w="20" w:type="dxa"/>
              <w:bottom w:w="0" w:type="dxa"/>
              <w:right w:w="20" w:type="dxa"/>
            </w:tcMar>
            <w:vAlign w:val="center"/>
          </w:tcPr>
          <w:p>
            <w:pPr>
              <w:spacing w:line="300" w:lineRule="exact"/>
              <w:jc w:val="center"/>
              <w:rPr>
                <w:szCs w:val="21"/>
              </w:rPr>
            </w:pPr>
            <w:r>
              <w:rPr>
                <w:szCs w:val="21"/>
              </w:rPr>
              <w:t>Increase over the previous year</w:t>
            </w:r>
          </w:p>
        </w:tc>
        <w:tc>
          <w:tcPr>
            <w:tcW w:w="1269" w:type="dxa"/>
            <w:vAlign w:val="center"/>
          </w:tcPr>
          <w:p>
            <w:pPr>
              <w:spacing w:line="300" w:lineRule="exact"/>
              <w:jc w:val="center"/>
              <w:rPr>
                <w:szCs w:val="21"/>
              </w:rPr>
            </w:pPr>
            <w:r>
              <w:rPr>
                <w:szCs w:val="21"/>
              </w:rPr>
              <w:t>Proportion</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6241" w:type="dxa"/>
            <w:tcMar>
              <w:top w:w="20" w:type="dxa"/>
              <w:left w:w="20" w:type="dxa"/>
              <w:bottom w:w="0" w:type="dxa"/>
              <w:right w:w="20" w:type="dxa"/>
            </w:tcMar>
            <w:vAlign w:val="center"/>
          </w:tcPr>
          <w:p>
            <w:pPr>
              <w:spacing w:line="300" w:lineRule="exact"/>
              <w:rPr>
                <w:szCs w:val="21"/>
              </w:rPr>
            </w:pPr>
            <w:r>
              <w:rPr>
                <w:szCs w:val="21"/>
              </w:rPr>
              <w:t>Added</w:t>
            </w:r>
            <w:r>
              <w:rPr>
                <w:rFonts w:hint="eastAsia"/>
                <w:szCs w:val="21"/>
              </w:rPr>
              <w:t xml:space="preserve"> </w:t>
            </w:r>
            <w:r>
              <w:rPr>
                <w:szCs w:val="21"/>
              </w:rPr>
              <w:t>Value of Industries above Designated Size</w:t>
            </w:r>
          </w:p>
        </w:tc>
        <w:tc>
          <w:tcPr>
            <w:tcW w:w="1469" w:type="dxa"/>
            <w:tcMar>
              <w:top w:w="20" w:type="dxa"/>
              <w:left w:w="20" w:type="dxa"/>
              <w:bottom w:w="0" w:type="dxa"/>
              <w:right w:w="20" w:type="dxa"/>
            </w:tcMar>
            <w:vAlign w:val="center"/>
          </w:tcPr>
          <w:p>
            <w:pPr>
              <w:spacing w:line="300" w:lineRule="exact"/>
              <w:ind w:right="315" w:rightChars="150"/>
              <w:jc w:val="right"/>
              <w:rPr>
                <w:szCs w:val="21"/>
              </w:rPr>
            </w:pPr>
            <w:r>
              <w:rPr>
                <w:szCs w:val="21"/>
              </w:rPr>
              <w:t>-16.7</w:t>
            </w:r>
          </w:p>
        </w:tc>
        <w:tc>
          <w:tcPr>
            <w:tcW w:w="1269" w:type="dxa"/>
            <w:vAlign w:val="center"/>
          </w:tcPr>
          <w:p>
            <w:pPr>
              <w:spacing w:line="300" w:lineRule="exact"/>
              <w:ind w:right="315" w:rightChars="150"/>
              <w:jc w:val="right"/>
              <w:rPr>
                <w:szCs w:val="21"/>
              </w:rPr>
            </w:pPr>
            <w:r>
              <w:rPr>
                <w:szCs w:val="21"/>
              </w:rPr>
              <w:t>100.0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30" w:hRule="atLeast"/>
          <w:jc w:val="center"/>
        </w:trPr>
        <w:tc>
          <w:tcPr>
            <w:tcW w:w="6241" w:type="dxa"/>
            <w:tcMar>
              <w:top w:w="20" w:type="dxa"/>
              <w:left w:w="20" w:type="dxa"/>
              <w:bottom w:w="0" w:type="dxa"/>
              <w:right w:w="20" w:type="dxa"/>
            </w:tcMar>
            <w:vAlign w:val="center"/>
          </w:tcPr>
          <w:p>
            <w:pPr>
              <w:spacing w:line="300" w:lineRule="exact"/>
              <w:ind w:firstLine="210" w:firstLineChars="100"/>
              <w:rPr>
                <w:szCs w:val="21"/>
              </w:rPr>
            </w:pPr>
            <w:r>
              <w:rPr>
                <w:rFonts w:hint="eastAsia"/>
                <w:szCs w:val="21"/>
              </w:rPr>
              <w:t xml:space="preserve">Of which: </w:t>
            </w:r>
            <w:r>
              <w:rPr>
                <w:szCs w:val="21"/>
              </w:rPr>
              <w:t xml:space="preserve">Processing of </w:t>
            </w:r>
            <w:r>
              <w:rPr>
                <w:rFonts w:hint="eastAsia"/>
                <w:szCs w:val="21"/>
              </w:rPr>
              <w:t>P</w:t>
            </w:r>
            <w:r>
              <w:rPr>
                <w:szCs w:val="21"/>
              </w:rPr>
              <w:t xml:space="preserve">etroleum, </w:t>
            </w:r>
            <w:r>
              <w:rPr>
                <w:rFonts w:hint="eastAsia"/>
                <w:szCs w:val="21"/>
              </w:rPr>
              <w:t>C</w:t>
            </w:r>
            <w:r>
              <w:rPr>
                <w:szCs w:val="21"/>
              </w:rPr>
              <w:t xml:space="preserve">oal and other </w:t>
            </w:r>
            <w:r>
              <w:rPr>
                <w:rFonts w:hint="eastAsia"/>
                <w:szCs w:val="21"/>
              </w:rPr>
              <w:t>F</w:t>
            </w:r>
            <w:r>
              <w:rPr>
                <w:szCs w:val="21"/>
              </w:rPr>
              <w:t>uels</w:t>
            </w:r>
          </w:p>
        </w:tc>
        <w:tc>
          <w:tcPr>
            <w:tcW w:w="1469" w:type="dxa"/>
            <w:tcMar>
              <w:top w:w="20" w:type="dxa"/>
              <w:left w:w="20" w:type="dxa"/>
              <w:bottom w:w="0" w:type="dxa"/>
              <w:right w:w="20" w:type="dxa"/>
            </w:tcMar>
            <w:vAlign w:val="center"/>
          </w:tcPr>
          <w:p>
            <w:pPr>
              <w:spacing w:line="300" w:lineRule="exact"/>
              <w:ind w:right="315" w:rightChars="150"/>
              <w:jc w:val="right"/>
              <w:rPr>
                <w:szCs w:val="21"/>
              </w:rPr>
            </w:pPr>
            <w:r>
              <w:rPr>
                <w:szCs w:val="21"/>
              </w:rPr>
              <w:t>-</w:t>
            </w:r>
            <w:r>
              <w:rPr>
                <w:rFonts w:hint="eastAsia"/>
                <w:szCs w:val="21"/>
              </w:rPr>
              <w:t>1</w:t>
            </w:r>
            <w:r>
              <w:rPr>
                <w:szCs w:val="21"/>
              </w:rPr>
              <w:t>3.3</w:t>
            </w:r>
          </w:p>
        </w:tc>
        <w:tc>
          <w:tcPr>
            <w:tcW w:w="1269" w:type="dxa"/>
            <w:vAlign w:val="center"/>
          </w:tcPr>
          <w:p>
            <w:pPr>
              <w:spacing w:line="300" w:lineRule="exact"/>
              <w:ind w:right="315" w:rightChars="150"/>
              <w:jc w:val="right"/>
              <w:rPr>
                <w:szCs w:val="21"/>
              </w:rPr>
            </w:pPr>
            <w:r>
              <w:rPr>
                <w:rFonts w:hint="eastAsia"/>
                <w:szCs w:val="21"/>
              </w:rPr>
              <w:t>2</w:t>
            </w:r>
            <w:r>
              <w:rPr>
                <w:szCs w:val="21"/>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28" w:hRule="atLeast"/>
          <w:jc w:val="center"/>
        </w:trPr>
        <w:tc>
          <w:tcPr>
            <w:tcW w:w="6241" w:type="dxa"/>
            <w:tcMar>
              <w:top w:w="20" w:type="dxa"/>
              <w:left w:w="20" w:type="dxa"/>
              <w:bottom w:w="0" w:type="dxa"/>
              <w:right w:w="20" w:type="dxa"/>
            </w:tcMar>
            <w:vAlign w:val="center"/>
          </w:tcPr>
          <w:p>
            <w:pPr>
              <w:spacing w:line="300" w:lineRule="exact"/>
              <w:ind w:firstLine="1050" w:firstLineChars="500"/>
              <w:rPr>
                <w:szCs w:val="21"/>
              </w:rPr>
            </w:pPr>
            <w:r>
              <w:rPr>
                <w:rFonts w:hint="eastAsia"/>
                <w:szCs w:val="21"/>
              </w:rPr>
              <w:t xml:space="preserve">  </w:t>
            </w:r>
            <w:r>
              <w:rPr>
                <w:szCs w:val="21"/>
              </w:rPr>
              <w:t xml:space="preserve">Manufacture of </w:t>
            </w:r>
            <w:r>
              <w:rPr>
                <w:rFonts w:hint="eastAsia"/>
                <w:szCs w:val="21"/>
              </w:rPr>
              <w:t>C</w:t>
            </w:r>
            <w:r>
              <w:rPr>
                <w:szCs w:val="21"/>
              </w:rPr>
              <w:t xml:space="preserve">hemical </w:t>
            </w:r>
            <w:r>
              <w:rPr>
                <w:rFonts w:hint="eastAsia"/>
                <w:szCs w:val="21"/>
              </w:rPr>
              <w:t>R</w:t>
            </w:r>
            <w:r>
              <w:rPr>
                <w:szCs w:val="21"/>
              </w:rPr>
              <w:t xml:space="preserve">aw </w:t>
            </w:r>
            <w:r>
              <w:rPr>
                <w:rFonts w:hint="eastAsia"/>
                <w:szCs w:val="21"/>
              </w:rPr>
              <w:t>M</w:t>
            </w:r>
            <w:r>
              <w:rPr>
                <w:szCs w:val="21"/>
              </w:rPr>
              <w:t xml:space="preserve">aterials and </w:t>
            </w:r>
          </w:p>
          <w:p>
            <w:pPr>
              <w:spacing w:line="300" w:lineRule="exact"/>
              <w:ind w:firstLine="1260" w:firstLineChars="600"/>
              <w:rPr>
                <w:szCs w:val="21"/>
              </w:rPr>
            </w:pPr>
            <w:r>
              <w:rPr>
                <w:rFonts w:hint="eastAsia"/>
                <w:szCs w:val="21"/>
              </w:rPr>
              <w:t xml:space="preserve">  C</w:t>
            </w:r>
            <w:r>
              <w:rPr>
                <w:szCs w:val="21"/>
              </w:rPr>
              <w:t xml:space="preserve">hemical </w:t>
            </w:r>
            <w:r>
              <w:rPr>
                <w:rFonts w:hint="eastAsia"/>
                <w:szCs w:val="21"/>
              </w:rPr>
              <w:t>P</w:t>
            </w:r>
            <w:r>
              <w:rPr>
                <w:szCs w:val="21"/>
              </w:rPr>
              <w:t>roducts</w:t>
            </w:r>
          </w:p>
        </w:tc>
        <w:tc>
          <w:tcPr>
            <w:tcW w:w="1469" w:type="dxa"/>
            <w:tcMar>
              <w:top w:w="20" w:type="dxa"/>
              <w:left w:w="20" w:type="dxa"/>
              <w:bottom w:w="0" w:type="dxa"/>
              <w:right w:w="20" w:type="dxa"/>
            </w:tcMar>
            <w:vAlign w:val="center"/>
          </w:tcPr>
          <w:p>
            <w:pPr>
              <w:spacing w:line="300" w:lineRule="exact"/>
              <w:ind w:right="315" w:rightChars="150"/>
              <w:jc w:val="right"/>
              <w:rPr>
                <w:szCs w:val="21"/>
              </w:rPr>
            </w:pPr>
            <w:r>
              <w:rPr>
                <w:szCs w:val="21"/>
              </w:rPr>
              <w:t>3.4</w:t>
            </w:r>
          </w:p>
        </w:tc>
        <w:tc>
          <w:tcPr>
            <w:tcW w:w="1269" w:type="dxa"/>
            <w:vAlign w:val="center"/>
          </w:tcPr>
          <w:p>
            <w:pPr>
              <w:spacing w:line="300" w:lineRule="exact"/>
              <w:ind w:right="315" w:rightChars="150"/>
              <w:jc w:val="right"/>
              <w:rPr>
                <w:szCs w:val="21"/>
              </w:rPr>
            </w:pPr>
            <w:r>
              <w:rPr>
                <w:rFonts w:hint="eastAsia"/>
                <w:szCs w:val="21"/>
              </w:rPr>
              <w:t>3</w:t>
            </w:r>
            <w:r>
              <w:rPr>
                <w:szCs w:val="21"/>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36" w:hRule="atLeast"/>
          <w:jc w:val="center"/>
        </w:trPr>
        <w:tc>
          <w:tcPr>
            <w:tcW w:w="6241" w:type="dxa"/>
            <w:tcMar>
              <w:top w:w="20" w:type="dxa"/>
              <w:left w:w="20" w:type="dxa"/>
              <w:bottom w:w="0" w:type="dxa"/>
              <w:right w:w="20" w:type="dxa"/>
            </w:tcMar>
            <w:vAlign w:val="center"/>
          </w:tcPr>
          <w:p>
            <w:pPr>
              <w:spacing w:line="300" w:lineRule="exact"/>
              <w:ind w:firstLine="840" w:firstLineChars="400"/>
              <w:rPr>
                <w:szCs w:val="21"/>
              </w:rPr>
            </w:pPr>
            <w:r>
              <w:rPr>
                <w:rFonts w:hint="eastAsia"/>
                <w:szCs w:val="21"/>
              </w:rPr>
              <w:t xml:space="preserve">    </w:t>
            </w:r>
            <w:r>
              <w:rPr>
                <w:szCs w:val="21"/>
              </w:rPr>
              <w:t xml:space="preserve">Manufacture of </w:t>
            </w:r>
            <w:r>
              <w:rPr>
                <w:rFonts w:hint="eastAsia"/>
                <w:szCs w:val="21"/>
              </w:rPr>
              <w:t>M</w:t>
            </w:r>
            <w:r>
              <w:rPr>
                <w:szCs w:val="21"/>
              </w:rPr>
              <w:t>edicines</w:t>
            </w:r>
          </w:p>
        </w:tc>
        <w:tc>
          <w:tcPr>
            <w:tcW w:w="1469" w:type="dxa"/>
            <w:tcMar>
              <w:top w:w="20" w:type="dxa"/>
              <w:left w:w="20" w:type="dxa"/>
              <w:bottom w:w="0" w:type="dxa"/>
              <w:right w:w="20" w:type="dxa"/>
            </w:tcMar>
            <w:vAlign w:val="center"/>
          </w:tcPr>
          <w:p>
            <w:pPr>
              <w:spacing w:line="300" w:lineRule="exact"/>
              <w:ind w:right="315" w:rightChars="150"/>
              <w:jc w:val="right"/>
              <w:rPr>
                <w:szCs w:val="21"/>
              </w:rPr>
            </w:pPr>
            <w:r>
              <w:rPr>
                <w:szCs w:val="21"/>
              </w:rPr>
              <w:t>-58.3</w:t>
            </w:r>
          </w:p>
        </w:tc>
        <w:tc>
          <w:tcPr>
            <w:tcW w:w="1269" w:type="dxa"/>
            <w:vAlign w:val="center"/>
          </w:tcPr>
          <w:p>
            <w:pPr>
              <w:spacing w:line="300" w:lineRule="exact"/>
              <w:ind w:right="315" w:rightChars="150"/>
              <w:jc w:val="right"/>
              <w:rPr>
                <w:szCs w:val="21"/>
              </w:rPr>
            </w:pPr>
            <w:r>
              <w:rPr>
                <w:szCs w:val="21"/>
              </w:rPr>
              <w:t>14.3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6241" w:type="dxa"/>
            <w:tcMar>
              <w:top w:w="20" w:type="dxa"/>
              <w:left w:w="20" w:type="dxa"/>
              <w:bottom w:w="0" w:type="dxa"/>
              <w:right w:w="20" w:type="dxa"/>
            </w:tcMar>
            <w:vAlign w:val="center"/>
          </w:tcPr>
          <w:p>
            <w:pPr>
              <w:spacing w:line="300" w:lineRule="exact"/>
              <w:ind w:firstLine="840" w:firstLineChars="400"/>
              <w:rPr>
                <w:szCs w:val="21"/>
              </w:rPr>
            </w:pPr>
            <w:r>
              <w:rPr>
                <w:rFonts w:hint="eastAsia"/>
                <w:szCs w:val="21"/>
              </w:rPr>
              <w:t xml:space="preserve">    </w:t>
            </w:r>
            <w:r>
              <w:rPr>
                <w:szCs w:val="21"/>
              </w:rPr>
              <w:t xml:space="preserve">Manufacture of </w:t>
            </w:r>
            <w:r>
              <w:rPr>
                <w:rFonts w:hint="eastAsia"/>
                <w:szCs w:val="21"/>
              </w:rPr>
              <w:t>N</w:t>
            </w:r>
            <w:r>
              <w:rPr>
                <w:szCs w:val="21"/>
              </w:rPr>
              <w:t xml:space="preserve">on-metallic </w:t>
            </w:r>
            <w:r>
              <w:rPr>
                <w:rFonts w:hint="eastAsia"/>
                <w:szCs w:val="21"/>
              </w:rPr>
              <w:t>M</w:t>
            </w:r>
            <w:r>
              <w:rPr>
                <w:szCs w:val="21"/>
              </w:rPr>
              <w:t xml:space="preserve">ineral </w:t>
            </w:r>
            <w:r>
              <w:rPr>
                <w:rFonts w:hint="eastAsia"/>
                <w:szCs w:val="21"/>
              </w:rPr>
              <w:t>P</w:t>
            </w:r>
            <w:r>
              <w:rPr>
                <w:szCs w:val="21"/>
              </w:rPr>
              <w:t>roducts</w:t>
            </w:r>
          </w:p>
        </w:tc>
        <w:tc>
          <w:tcPr>
            <w:tcW w:w="1469" w:type="dxa"/>
            <w:tcMar>
              <w:top w:w="20" w:type="dxa"/>
              <w:left w:w="20" w:type="dxa"/>
              <w:bottom w:w="0" w:type="dxa"/>
              <w:right w:w="20" w:type="dxa"/>
            </w:tcMar>
            <w:vAlign w:val="center"/>
          </w:tcPr>
          <w:p>
            <w:pPr>
              <w:spacing w:line="300" w:lineRule="exact"/>
              <w:ind w:right="315" w:rightChars="150"/>
              <w:jc w:val="right"/>
              <w:rPr>
                <w:szCs w:val="21"/>
              </w:rPr>
            </w:pPr>
            <w:r>
              <w:rPr>
                <w:szCs w:val="21"/>
              </w:rPr>
              <w:t>-13.1</w:t>
            </w:r>
          </w:p>
        </w:tc>
        <w:tc>
          <w:tcPr>
            <w:tcW w:w="1269" w:type="dxa"/>
            <w:vAlign w:val="center"/>
          </w:tcPr>
          <w:p>
            <w:pPr>
              <w:spacing w:line="300" w:lineRule="exact"/>
              <w:ind w:right="315" w:rightChars="150"/>
              <w:jc w:val="right"/>
              <w:rPr>
                <w:szCs w:val="21"/>
              </w:rPr>
            </w:pPr>
            <w:r>
              <w:rPr>
                <w:szCs w:val="21"/>
              </w:rPr>
              <w:t>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36" w:hRule="atLeast"/>
          <w:jc w:val="center"/>
        </w:trPr>
        <w:tc>
          <w:tcPr>
            <w:tcW w:w="6241" w:type="dxa"/>
            <w:tcMar>
              <w:top w:w="20" w:type="dxa"/>
              <w:left w:w="20" w:type="dxa"/>
              <w:bottom w:w="0" w:type="dxa"/>
              <w:right w:w="20" w:type="dxa"/>
            </w:tcMar>
            <w:vAlign w:val="center"/>
          </w:tcPr>
          <w:p>
            <w:pPr>
              <w:spacing w:line="300" w:lineRule="exact"/>
              <w:ind w:firstLine="1050" w:firstLineChars="500"/>
              <w:rPr>
                <w:szCs w:val="21"/>
              </w:rPr>
            </w:pPr>
            <w:r>
              <w:rPr>
                <w:rFonts w:hint="eastAsia"/>
                <w:szCs w:val="21"/>
              </w:rPr>
              <w:t xml:space="preserve">  </w:t>
            </w:r>
            <w:r>
              <w:rPr>
                <w:szCs w:val="21"/>
              </w:rPr>
              <w:t xml:space="preserve">Manufacture of </w:t>
            </w:r>
            <w:r>
              <w:rPr>
                <w:rFonts w:hint="eastAsia"/>
                <w:szCs w:val="21"/>
              </w:rPr>
              <w:t>G</w:t>
            </w:r>
            <w:r>
              <w:rPr>
                <w:szCs w:val="21"/>
              </w:rPr>
              <w:t xml:space="preserve">eneral-purpose </w:t>
            </w:r>
            <w:r>
              <w:rPr>
                <w:rFonts w:hint="eastAsia"/>
                <w:szCs w:val="21"/>
              </w:rPr>
              <w:t>M</w:t>
            </w:r>
            <w:r>
              <w:rPr>
                <w:szCs w:val="21"/>
              </w:rPr>
              <w:t>achinery</w:t>
            </w:r>
          </w:p>
        </w:tc>
        <w:tc>
          <w:tcPr>
            <w:tcW w:w="1469" w:type="dxa"/>
            <w:tcMar>
              <w:top w:w="20" w:type="dxa"/>
              <w:left w:w="20" w:type="dxa"/>
              <w:bottom w:w="0" w:type="dxa"/>
              <w:right w:w="20" w:type="dxa"/>
            </w:tcMar>
            <w:vAlign w:val="center"/>
          </w:tcPr>
          <w:p>
            <w:pPr>
              <w:spacing w:line="300" w:lineRule="exact"/>
              <w:ind w:right="315" w:rightChars="150"/>
              <w:jc w:val="right"/>
              <w:rPr>
                <w:szCs w:val="21"/>
              </w:rPr>
            </w:pPr>
            <w:r>
              <w:rPr>
                <w:szCs w:val="21"/>
              </w:rPr>
              <w:t>7.1</w:t>
            </w:r>
          </w:p>
        </w:tc>
        <w:tc>
          <w:tcPr>
            <w:tcW w:w="1269" w:type="dxa"/>
            <w:vAlign w:val="center"/>
          </w:tcPr>
          <w:p>
            <w:pPr>
              <w:spacing w:line="300" w:lineRule="exact"/>
              <w:ind w:right="315" w:rightChars="150"/>
              <w:jc w:val="right"/>
              <w:rPr>
                <w:szCs w:val="21"/>
              </w:rPr>
            </w:pPr>
            <w:r>
              <w:rPr>
                <w:szCs w:val="21"/>
              </w:rPr>
              <w:t>4.1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36" w:hRule="atLeast"/>
          <w:jc w:val="center"/>
        </w:trPr>
        <w:tc>
          <w:tcPr>
            <w:tcW w:w="6241" w:type="dxa"/>
            <w:tcMar>
              <w:top w:w="20" w:type="dxa"/>
              <w:left w:w="20" w:type="dxa"/>
              <w:bottom w:w="0" w:type="dxa"/>
              <w:right w:w="20" w:type="dxa"/>
            </w:tcMar>
            <w:vAlign w:val="center"/>
          </w:tcPr>
          <w:p>
            <w:pPr>
              <w:spacing w:line="300" w:lineRule="exact"/>
              <w:ind w:firstLine="1050" w:firstLineChars="500"/>
              <w:rPr>
                <w:szCs w:val="21"/>
              </w:rPr>
            </w:pPr>
            <w:r>
              <w:rPr>
                <w:rFonts w:hint="eastAsia"/>
                <w:szCs w:val="21"/>
              </w:rPr>
              <w:t xml:space="preserve">  </w:t>
            </w:r>
            <w:r>
              <w:rPr>
                <w:szCs w:val="21"/>
              </w:rPr>
              <w:t xml:space="preserve">Manufacture of </w:t>
            </w:r>
            <w:r>
              <w:rPr>
                <w:rFonts w:hint="eastAsia"/>
                <w:szCs w:val="21"/>
              </w:rPr>
              <w:t>S</w:t>
            </w:r>
            <w:r>
              <w:rPr>
                <w:szCs w:val="21"/>
              </w:rPr>
              <w:t xml:space="preserve">pecial-purpose </w:t>
            </w:r>
            <w:r>
              <w:rPr>
                <w:rFonts w:hint="eastAsia"/>
                <w:szCs w:val="21"/>
              </w:rPr>
              <w:t>M</w:t>
            </w:r>
            <w:r>
              <w:rPr>
                <w:szCs w:val="21"/>
              </w:rPr>
              <w:t>achinery</w:t>
            </w:r>
          </w:p>
        </w:tc>
        <w:tc>
          <w:tcPr>
            <w:tcW w:w="1469" w:type="dxa"/>
            <w:tcMar>
              <w:top w:w="20" w:type="dxa"/>
              <w:left w:w="20" w:type="dxa"/>
              <w:bottom w:w="0" w:type="dxa"/>
              <w:right w:w="20" w:type="dxa"/>
            </w:tcMar>
            <w:vAlign w:val="center"/>
          </w:tcPr>
          <w:p>
            <w:pPr>
              <w:spacing w:line="300" w:lineRule="exact"/>
              <w:ind w:right="315" w:rightChars="150"/>
              <w:jc w:val="right"/>
              <w:rPr>
                <w:szCs w:val="21"/>
              </w:rPr>
            </w:pPr>
            <w:r>
              <w:rPr>
                <w:rFonts w:hint="eastAsia"/>
                <w:szCs w:val="21"/>
              </w:rPr>
              <w:t>1</w:t>
            </w:r>
            <w:r>
              <w:rPr>
                <w:szCs w:val="21"/>
              </w:rPr>
              <w:t>0.2</w:t>
            </w:r>
          </w:p>
        </w:tc>
        <w:tc>
          <w:tcPr>
            <w:tcW w:w="1269" w:type="dxa"/>
            <w:vAlign w:val="center"/>
          </w:tcPr>
          <w:p>
            <w:pPr>
              <w:spacing w:line="300" w:lineRule="exact"/>
              <w:ind w:right="315" w:rightChars="150"/>
              <w:jc w:val="right"/>
              <w:rPr>
                <w:szCs w:val="21"/>
              </w:rPr>
            </w:pPr>
            <w:r>
              <w:rPr>
                <w:szCs w:val="21"/>
              </w:rPr>
              <w:t>5.5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36" w:hRule="atLeast"/>
          <w:jc w:val="center"/>
        </w:trPr>
        <w:tc>
          <w:tcPr>
            <w:tcW w:w="6241" w:type="dxa"/>
            <w:tcMar>
              <w:top w:w="20" w:type="dxa"/>
              <w:left w:w="20" w:type="dxa"/>
              <w:bottom w:w="0" w:type="dxa"/>
              <w:right w:w="20" w:type="dxa"/>
            </w:tcMar>
            <w:vAlign w:val="center"/>
          </w:tcPr>
          <w:p>
            <w:pPr>
              <w:spacing w:line="300" w:lineRule="exact"/>
              <w:ind w:firstLine="1050" w:firstLineChars="500"/>
              <w:rPr>
                <w:szCs w:val="21"/>
              </w:rPr>
            </w:pPr>
            <w:r>
              <w:rPr>
                <w:rFonts w:hint="eastAsia"/>
                <w:szCs w:val="21"/>
              </w:rPr>
              <w:t xml:space="preserve">  </w:t>
            </w:r>
            <w:r>
              <w:rPr>
                <w:szCs w:val="21"/>
              </w:rPr>
              <w:t xml:space="preserve">Manufacture of </w:t>
            </w:r>
            <w:r>
              <w:rPr>
                <w:rFonts w:hint="eastAsia"/>
                <w:szCs w:val="21"/>
              </w:rPr>
              <w:t>M</w:t>
            </w:r>
            <w:r>
              <w:rPr>
                <w:szCs w:val="21"/>
              </w:rPr>
              <w:t xml:space="preserve">otor </w:t>
            </w:r>
            <w:r>
              <w:rPr>
                <w:rFonts w:hint="eastAsia"/>
                <w:szCs w:val="21"/>
              </w:rPr>
              <w:t>V</w:t>
            </w:r>
            <w:r>
              <w:rPr>
                <w:szCs w:val="21"/>
              </w:rPr>
              <w:t>ehicles</w:t>
            </w:r>
          </w:p>
        </w:tc>
        <w:tc>
          <w:tcPr>
            <w:tcW w:w="1469" w:type="dxa"/>
            <w:tcMar>
              <w:top w:w="20" w:type="dxa"/>
              <w:left w:w="20" w:type="dxa"/>
              <w:bottom w:w="0" w:type="dxa"/>
              <w:right w:w="20" w:type="dxa"/>
            </w:tcMar>
            <w:vAlign w:val="center"/>
          </w:tcPr>
          <w:p>
            <w:pPr>
              <w:spacing w:line="300" w:lineRule="exact"/>
              <w:ind w:right="315" w:rightChars="150"/>
              <w:jc w:val="right"/>
              <w:rPr>
                <w:szCs w:val="21"/>
              </w:rPr>
            </w:pPr>
            <w:r>
              <w:rPr>
                <w:rFonts w:hint="eastAsia"/>
                <w:szCs w:val="21"/>
              </w:rPr>
              <w:t>-</w:t>
            </w:r>
            <w:r>
              <w:rPr>
                <w:szCs w:val="21"/>
              </w:rPr>
              <w:t>2.6</w:t>
            </w:r>
          </w:p>
        </w:tc>
        <w:tc>
          <w:tcPr>
            <w:tcW w:w="1269" w:type="dxa"/>
            <w:vAlign w:val="center"/>
          </w:tcPr>
          <w:p>
            <w:pPr>
              <w:spacing w:line="300" w:lineRule="exact"/>
              <w:ind w:right="315" w:rightChars="150"/>
              <w:jc w:val="right"/>
              <w:rPr>
                <w:szCs w:val="21"/>
              </w:rPr>
            </w:pPr>
            <w:r>
              <w:rPr>
                <w:rFonts w:hint="eastAsia"/>
                <w:szCs w:val="21"/>
              </w:rPr>
              <w:t>1</w:t>
            </w:r>
            <w:r>
              <w:rPr>
                <w:szCs w:val="21"/>
              </w:rPr>
              <w:t>3.2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269" w:hRule="atLeast"/>
          <w:jc w:val="center"/>
        </w:trPr>
        <w:tc>
          <w:tcPr>
            <w:tcW w:w="6241" w:type="dxa"/>
            <w:tcMar>
              <w:top w:w="20" w:type="dxa"/>
              <w:left w:w="20" w:type="dxa"/>
              <w:bottom w:w="0" w:type="dxa"/>
              <w:right w:w="20" w:type="dxa"/>
            </w:tcMar>
            <w:vAlign w:val="center"/>
          </w:tcPr>
          <w:p>
            <w:pPr>
              <w:spacing w:line="300" w:lineRule="exact"/>
              <w:ind w:left="1446" w:leftChars="500" w:hanging="396" w:hangingChars="200"/>
              <w:rPr>
                <w:szCs w:val="21"/>
              </w:rPr>
            </w:pPr>
            <w:r>
              <w:rPr>
                <w:rFonts w:hint="eastAsia"/>
                <w:spacing w:val="-6"/>
                <w:szCs w:val="21"/>
              </w:rPr>
              <w:t xml:space="preserve">  </w:t>
            </w:r>
            <w:r>
              <w:rPr>
                <w:spacing w:val="-6"/>
                <w:szCs w:val="21"/>
              </w:rPr>
              <w:t xml:space="preserve">Manufacture of </w:t>
            </w:r>
            <w:r>
              <w:rPr>
                <w:rFonts w:hint="eastAsia"/>
                <w:spacing w:val="-6"/>
                <w:szCs w:val="21"/>
              </w:rPr>
              <w:t>R</w:t>
            </w:r>
            <w:r>
              <w:rPr>
                <w:spacing w:val="-6"/>
                <w:szCs w:val="21"/>
              </w:rPr>
              <w:t xml:space="preserve">ailway </w:t>
            </w:r>
            <w:r>
              <w:rPr>
                <w:rFonts w:hint="eastAsia"/>
                <w:spacing w:val="-6"/>
                <w:szCs w:val="21"/>
              </w:rPr>
              <w:t>L</w:t>
            </w:r>
            <w:r>
              <w:rPr>
                <w:spacing w:val="-6"/>
                <w:szCs w:val="21"/>
              </w:rPr>
              <w:t xml:space="preserve">ocomotives, </w:t>
            </w:r>
            <w:r>
              <w:rPr>
                <w:rFonts w:hint="eastAsia"/>
                <w:spacing w:val="-6"/>
                <w:szCs w:val="21"/>
              </w:rPr>
              <w:t>B</w:t>
            </w:r>
            <w:r>
              <w:rPr>
                <w:spacing w:val="-6"/>
                <w:szCs w:val="21"/>
              </w:rPr>
              <w:t xml:space="preserve">uilding of </w:t>
            </w:r>
            <w:r>
              <w:rPr>
                <w:rFonts w:hint="eastAsia"/>
                <w:spacing w:val="-6"/>
                <w:szCs w:val="21"/>
              </w:rPr>
              <w:t>S</w:t>
            </w:r>
            <w:r>
              <w:rPr>
                <w:spacing w:val="-6"/>
                <w:szCs w:val="21"/>
              </w:rPr>
              <w:t xml:space="preserve">hips and </w:t>
            </w:r>
            <w:r>
              <w:rPr>
                <w:rFonts w:hint="eastAsia"/>
                <w:spacing w:val="-6"/>
                <w:szCs w:val="21"/>
              </w:rPr>
              <w:t>B</w:t>
            </w:r>
            <w:r>
              <w:rPr>
                <w:spacing w:val="-6"/>
                <w:szCs w:val="21"/>
              </w:rPr>
              <w:t xml:space="preserve">oats, </w:t>
            </w:r>
            <w:r>
              <w:rPr>
                <w:rFonts w:hint="eastAsia"/>
                <w:spacing w:val="-6"/>
                <w:szCs w:val="21"/>
              </w:rPr>
              <w:t>M</w:t>
            </w:r>
            <w:r>
              <w:rPr>
                <w:spacing w:val="-6"/>
                <w:szCs w:val="21"/>
              </w:rPr>
              <w:t xml:space="preserve">anufacture of </w:t>
            </w:r>
            <w:r>
              <w:rPr>
                <w:rFonts w:hint="eastAsia"/>
                <w:spacing w:val="-6"/>
                <w:szCs w:val="21"/>
              </w:rPr>
              <w:t>A</w:t>
            </w:r>
            <w:r>
              <w:rPr>
                <w:spacing w:val="-6"/>
                <w:szCs w:val="21"/>
              </w:rPr>
              <w:t xml:space="preserve">ir and </w:t>
            </w:r>
            <w:r>
              <w:rPr>
                <w:rFonts w:hint="eastAsia"/>
                <w:spacing w:val="-6"/>
                <w:szCs w:val="21"/>
              </w:rPr>
              <w:t>S</w:t>
            </w:r>
            <w:r>
              <w:rPr>
                <w:spacing w:val="-6"/>
                <w:szCs w:val="21"/>
              </w:rPr>
              <w:t xml:space="preserve">pacecrafts and other </w:t>
            </w:r>
            <w:r>
              <w:rPr>
                <w:rFonts w:hint="eastAsia"/>
                <w:spacing w:val="-6"/>
                <w:szCs w:val="21"/>
              </w:rPr>
              <w:t>T</w:t>
            </w:r>
            <w:r>
              <w:rPr>
                <w:spacing w:val="-6"/>
                <w:szCs w:val="21"/>
              </w:rPr>
              <w:t xml:space="preserve">ransportation </w:t>
            </w:r>
            <w:r>
              <w:rPr>
                <w:rFonts w:hint="eastAsia"/>
                <w:spacing w:val="-6"/>
                <w:szCs w:val="21"/>
              </w:rPr>
              <w:t>E</w:t>
            </w:r>
            <w:r>
              <w:rPr>
                <w:spacing w:val="-6"/>
                <w:szCs w:val="21"/>
              </w:rPr>
              <w:t>quipment</w:t>
            </w:r>
          </w:p>
        </w:tc>
        <w:tc>
          <w:tcPr>
            <w:tcW w:w="1469" w:type="dxa"/>
            <w:tcMar>
              <w:top w:w="20" w:type="dxa"/>
              <w:left w:w="20" w:type="dxa"/>
              <w:bottom w:w="0" w:type="dxa"/>
              <w:right w:w="20" w:type="dxa"/>
            </w:tcMar>
            <w:vAlign w:val="center"/>
          </w:tcPr>
          <w:p>
            <w:pPr>
              <w:spacing w:line="300" w:lineRule="exact"/>
              <w:ind w:right="315" w:rightChars="150"/>
              <w:jc w:val="right"/>
              <w:rPr>
                <w:szCs w:val="21"/>
              </w:rPr>
            </w:pPr>
            <w:r>
              <w:rPr>
                <w:szCs w:val="21"/>
              </w:rPr>
              <w:t>3.7</w:t>
            </w:r>
          </w:p>
        </w:tc>
        <w:tc>
          <w:tcPr>
            <w:tcW w:w="1269" w:type="dxa"/>
            <w:vAlign w:val="center"/>
          </w:tcPr>
          <w:p>
            <w:pPr>
              <w:spacing w:line="300" w:lineRule="exact"/>
              <w:ind w:right="315" w:rightChars="150"/>
              <w:jc w:val="right"/>
              <w:rPr>
                <w:szCs w:val="21"/>
              </w:rPr>
            </w:pPr>
            <w:r>
              <w:rPr>
                <w:szCs w:val="21"/>
              </w:rPr>
              <w:t>1.9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6241" w:type="dxa"/>
            <w:tcMar>
              <w:top w:w="20" w:type="dxa"/>
              <w:left w:w="20" w:type="dxa"/>
              <w:bottom w:w="0" w:type="dxa"/>
              <w:right w:w="20" w:type="dxa"/>
            </w:tcMar>
            <w:vAlign w:val="center"/>
          </w:tcPr>
          <w:p>
            <w:pPr>
              <w:spacing w:line="300" w:lineRule="exact"/>
              <w:ind w:firstLine="840" w:firstLineChars="400"/>
              <w:rPr>
                <w:szCs w:val="21"/>
              </w:rPr>
            </w:pPr>
            <w:r>
              <w:rPr>
                <w:rFonts w:hint="eastAsia"/>
                <w:szCs w:val="21"/>
              </w:rPr>
              <w:t xml:space="preserve">   </w:t>
            </w:r>
            <w:r>
              <w:rPr>
                <w:szCs w:val="21"/>
              </w:rPr>
              <w:t xml:space="preserve">Manufacture of </w:t>
            </w:r>
            <w:r>
              <w:rPr>
                <w:rFonts w:hint="eastAsia"/>
                <w:szCs w:val="21"/>
              </w:rPr>
              <w:t>E</w:t>
            </w:r>
            <w:r>
              <w:rPr>
                <w:szCs w:val="21"/>
              </w:rPr>
              <w:t xml:space="preserve">lectrical </w:t>
            </w:r>
            <w:r>
              <w:rPr>
                <w:rFonts w:hint="eastAsia"/>
                <w:szCs w:val="21"/>
              </w:rPr>
              <w:t>M</w:t>
            </w:r>
            <w:r>
              <w:rPr>
                <w:szCs w:val="21"/>
              </w:rPr>
              <w:t xml:space="preserve">achinery and </w:t>
            </w:r>
          </w:p>
          <w:p>
            <w:pPr>
              <w:spacing w:line="300" w:lineRule="exact"/>
              <w:ind w:firstLine="1050" w:firstLineChars="500"/>
              <w:rPr>
                <w:szCs w:val="21"/>
              </w:rPr>
            </w:pPr>
            <w:r>
              <w:rPr>
                <w:rFonts w:hint="eastAsia"/>
                <w:szCs w:val="21"/>
              </w:rPr>
              <w:t xml:space="preserve">  E</w:t>
            </w:r>
            <w:r>
              <w:rPr>
                <w:szCs w:val="21"/>
              </w:rPr>
              <w:t>quipment</w:t>
            </w:r>
          </w:p>
        </w:tc>
        <w:tc>
          <w:tcPr>
            <w:tcW w:w="1469" w:type="dxa"/>
            <w:tcMar>
              <w:top w:w="20" w:type="dxa"/>
              <w:left w:w="20" w:type="dxa"/>
              <w:bottom w:w="0" w:type="dxa"/>
              <w:right w:w="20" w:type="dxa"/>
            </w:tcMar>
            <w:vAlign w:val="center"/>
          </w:tcPr>
          <w:p>
            <w:pPr>
              <w:spacing w:line="300" w:lineRule="exact"/>
              <w:ind w:right="315" w:rightChars="150"/>
              <w:jc w:val="right"/>
              <w:rPr>
                <w:szCs w:val="21"/>
              </w:rPr>
            </w:pPr>
            <w:r>
              <w:rPr>
                <w:rFonts w:hint="eastAsia"/>
                <w:szCs w:val="21"/>
              </w:rPr>
              <w:t>-</w:t>
            </w:r>
            <w:r>
              <w:rPr>
                <w:szCs w:val="21"/>
              </w:rPr>
              <w:t>1.9</w:t>
            </w:r>
          </w:p>
        </w:tc>
        <w:tc>
          <w:tcPr>
            <w:tcW w:w="1269" w:type="dxa"/>
            <w:vAlign w:val="center"/>
          </w:tcPr>
          <w:p>
            <w:pPr>
              <w:spacing w:line="300" w:lineRule="exact"/>
              <w:ind w:right="315" w:rightChars="150"/>
              <w:jc w:val="right"/>
              <w:rPr>
                <w:szCs w:val="21"/>
              </w:rPr>
            </w:pPr>
            <w:r>
              <w:rPr>
                <w:szCs w:val="21"/>
              </w:rPr>
              <w:t>3.5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34" w:hRule="atLeast"/>
          <w:jc w:val="center"/>
        </w:trPr>
        <w:tc>
          <w:tcPr>
            <w:tcW w:w="6241" w:type="dxa"/>
            <w:tcMar>
              <w:top w:w="20" w:type="dxa"/>
              <w:left w:w="20" w:type="dxa"/>
              <w:bottom w:w="0" w:type="dxa"/>
              <w:right w:w="20" w:type="dxa"/>
            </w:tcMar>
            <w:vAlign w:val="center"/>
          </w:tcPr>
          <w:p>
            <w:pPr>
              <w:spacing w:line="300" w:lineRule="exact"/>
              <w:ind w:firstLine="1050" w:firstLineChars="500"/>
              <w:rPr>
                <w:szCs w:val="21"/>
              </w:rPr>
            </w:pPr>
            <w:r>
              <w:rPr>
                <w:rFonts w:hint="eastAsia"/>
                <w:szCs w:val="21"/>
              </w:rPr>
              <w:t xml:space="preserve"> </w:t>
            </w:r>
            <w:r>
              <w:rPr>
                <w:szCs w:val="21"/>
              </w:rPr>
              <w:t xml:space="preserve">Manufacture of </w:t>
            </w:r>
            <w:r>
              <w:rPr>
                <w:rFonts w:hint="eastAsia"/>
                <w:szCs w:val="21"/>
              </w:rPr>
              <w:t>C</w:t>
            </w:r>
            <w:r>
              <w:rPr>
                <w:szCs w:val="21"/>
              </w:rPr>
              <w:t xml:space="preserve">omputer, </w:t>
            </w:r>
            <w:r>
              <w:rPr>
                <w:rFonts w:hint="eastAsia"/>
                <w:szCs w:val="21"/>
              </w:rPr>
              <w:t>C</w:t>
            </w:r>
            <w:r>
              <w:rPr>
                <w:szCs w:val="21"/>
              </w:rPr>
              <w:t xml:space="preserve">ommunication </w:t>
            </w:r>
          </w:p>
          <w:p>
            <w:pPr>
              <w:spacing w:line="300" w:lineRule="exact"/>
              <w:ind w:firstLine="840" w:firstLineChars="400"/>
              <w:rPr>
                <w:szCs w:val="21"/>
              </w:rPr>
            </w:pPr>
            <w:r>
              <w:rPr>
                <w:rFonts w:hint="eastAsia"/>
                <w:szCs w:val="21"/>
              </w:rPr>
              <w:t xml:space="preserve">    E</w:t>
            </w:r>
            <w:r>
              <w:rPr>
                <w:szCs w:val="21"/>
              </w:rPr>
              <w:t xml:space="preserve">quipment and other </w:t>
            </w:r>
            <w:r>
              <w:rPr>
                <w:rFonts w:hint="eastAsia"/>
                <w:szCs w:val="21"/>
              </w:rPr>
              <w:t>E</w:t>
            </w:r>
            <w:r>
              <w:rPr>
                <w:szCs w:val="21"/>
              </w:rPr>
              <w:t xml:space="preserve">lectronic </w:t>
            </w:r>
            <w:r>
              <w:rPr>
                <w:rFonts w:hint="eastAsia"/>
                <w:szCs w:val="21"/>
              </w:rPr>
              <w:t>E</w:t>
            </w:r>
            <w:r>
              <w:rPr>
                <w:szCs w:val="21"/>
              </w:rPr>
              <w:t>quipment</w:t>
            </w:r>
          </w:p>
        </w:tc>
        <w:tc>
          <w:tcPr>
            <w:tcW w:w="1469" w:type="dxa"/>
            <w:tcMar>
              <w:top w:w="20" w:type="dxa"/>
              <w:left w:w="20" w:type="dxa"/>
              <w:bottom w:w="0" w:type="dxa"/>
              <w:right w:w="20" w:type="dxa"/>
            </w:tcMar>
            <w:vAlign w:val="center"/>
          </w:tcPr>
          <w:p>
            <w:pPr>
              <w:spacing w:line="300" w:lineRule="exact"/>
              <w:ind w:right="315" w:rightChars="150"/>
              <w:jc w:val="right"/>
              <w:rPr>
                <w:szCs w:val="21"/>
              </w:rPr>
            </w:pPr>
            <w:r>
              <w:rPr>
                <w:szCs w:val="21"/>
              </w:rPr>
              <w:t>3.6</w:t>
            </w:r>
          </w:p>
        </w:tc>
        <w:tc>
          <w:tcPr>
            <w:tcW w:w="1269" w:type="dxa"/>
            <w:vAlign w:val="center"/>
          </w:tcPr>
          <w:p>
            <w:pPr>
              <w:spacing w:line="300" w:lineRule="exact"/>
              <w:ind w:right="315" w:rightChars="150"/>
              <w:jc w:val="right"/>
              <w:rPr>
                <w:szCs w:val="21"/>
              </w:rPr>
            </w:pPr>
            <w:r>
              <w:rPr>
                <w:szCs w:val="21"/>
              </w:rPr>
              <w:t>11.5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89" w:hRule="atLeast"/>
          <w:jc w:val="center"/>
        </w:trPr>
        <w:tc>
          <w:tcPr>
            <w:tcW w:w="6241" w:type="dxa"/>
            <w:tcMar>
              <w:top w:w="20" w:type="dxa"/>
              <w:left w:w="20" w:type="dxa"/>
              <w:bottom w:w="0" w:type="dxa"/>
              <w:right w:w="20" w:type="dxa"/>
            </w:tcMar>
            <w:vAlign w:val="center"/>
          </w:tcPr>
          <w:p>
            <w:pPr>
              <w:spacing w:line="300" w:lineRule="exact"/>
              <w:ind w:firstLine="840" w:firstLineChars="400"/>
              <w:rPr>
                <w:szCs w:val="21"/>
              </w:rPr>
            </w:pPr>
            <w:r>
              <w:rPr>
                <w:rFonts w:hint="eastAsia"/>
                <w:szCs w:val="21"/>
              </w:rPr>
              <w:t xml:space="preserve">  </w:t>
            </w:r>
            <w:r>
              <w:rPr>
                <w:szCs w:val="21"/>
              </w:rPr>
              <w:t xml:space="preserve"> Manufacture of </w:t>
            </w:r>
            <w:r>
              <w:rPr>
                <w:rFonts w:hint="eastAsia"/>
                <w:szCs w:val="21"/>
              </w:rPr>
              <w:t>M</w:t>
            </w:r>
            <w:r>
              <w:rPr>
                <w:szCs w:val="21"/>
              </w:rPr>
              <w:t xml:space="preserve">easuring </w:t>
            </w:r>
            <w:r>
              <w:rPr>
                <w:rFonts w:hint="eastAsia"/>
                <w:szCs w:val="21"/>
              </w:rPr>
              <w:t>I</w:t>
            </w:r>
            <w:r>
              <w:rPr>
                <w:szCs w:val="21"/>
              </w:rPr>
              <w:t xml:space="preserve">nstrument and </w:t>
            </w:r>
          </w:p>
          <w:p>
            <w:pPr>
              <w:spacing w:line="300" w:lineRule="exact"/>
              <w:ind w:firstLine="1260" w:firstLineChars="600"/>
              <w:rPr>
                <w:szCs w:val="21"/>
              </w:rPr>
            </w:pPr>
            <w:r>
              <w:rPr>
                <w:rFonts w:hint="eastAsia"/>
                <w:szCs w:val="21"/>
              </w:rPr>
              <w:t>M</w:t>
            </w:r>
            <w:r>
              <w:rPr>
                <w:szCs w:val="21"/>
              </w:rPr>
              <w:t>eter</w:t>
            </w:r>
          </w:p>
        </w:tc>
        <w:tc>
          <w:tcPr>
            <w:tcW w:w="1469" w:type="dxa"/>
            <w:tcMar>
              <w:top w:w="20" w:type="dxa"/>
              <w:left w:w="20" w:type="dxa"/>
              <w:bottom w:w="0" w:type="dxa"/>
              <w:right w:w="20" w:type="dxa"/>
            </w:tcMar>
            <w:vAlign w:val="center"/>
          </w:tcPr>
          <w:p>
            <w:pPr>
              <w:spacing w:line="300" w:lineRule="exact"/>
              <w:ind w:right="315" w:rightChars="150"/>
              <w:jc w:val="right"/>
              <w:rPr>
                <w:szCs w:val="21"/>
              </w:rPr>
            </w:pPr>
            <w:r>
              <w:rPr>
                <w:szCs w:val="21"/>
              </w:rPr>
              <w:t>2.5</w:t>
            </w:r>
          </w:p>
        </w:tc>
        <w:tc>
          <w:tcPr>
            <w:tcW w:w="1269" w:type="dxa"/>
            <w:vAlign w:val="center"/>
          </w:tcPr>
          <w:p>
            <w:pPr>
              <w:spacing w:line="300" w:lineRule="exact"/>
              <w:ind w:right="315" w:rightChars="150"/>
              <w:jc w:val="right"/>
              <w:rPr>
                <w:szCs w:val="21"/>
              </w:rPr>
            </w:pPr>
            <w:r>
              <w:rPr>
                <w:szCs w:val="21"/>
              </w:rPr>
              <w:t>2.2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29" w:hRule="atLeast"/>
          <w:jc w:val="center"/>
        </w:trPr>
        <w:tc>
          <w:tcPr>
            <w:tcW w:w="6241" w:type="dxa"/>
            <w:tcMar>
              <w:top w:w="20" w:type="dxa"/>
              <w:left w:w="20" w:type="dxa"/>
              <w:bottom w:w="0" w:type="dxa"/>
              <w:right w:w="20" w:type="dxa"/>
            </w:tcMar>
            <w:vAlign w:val="center"/>
          </w:tcPr>
          <w:p>
            <w:pPr>
              <w:spacing w:line="300" w:lineRule="exact"/>
              <w:ind w:firstLine="210" w:firstLineChars="100"/>
              <w:rPr>
                <w:szCs w:val="21"/>
              </w:rPr>
            </w:pPr>
            <w:r>
              <w:rPr>
                <w:szCs w:val="21"/>
              </w:rPr>
              <w:t xml:space="preserve">      </w:t>
            </w:r>
            <w:r>
              <w:rPr>
                <w:rFonts w:hint="eastAsia"/>
                <w:szCs w:val="21"/>
              </w:rPr>
              <w:t xml:space="preserve">   </w:t>
            </w:r>
            <w:r>
              <w:rPr>
                <w:szCs w:val="21"/>
              </w:rPr>
              <w:t xml:space="preserve">Production and </w:t>
            </w:r>
            <w:r>
              <w:rPr>
                <w:rFonts w:hint="eastAsia"/>
                <w:szCs w:val="21"/>
              </w:rPr>
              <w:t>S</w:t>
            </w:r>
            <w:r>
              <w:rPr>
                <w:szCs w:val="21"/>
              </w:rPr>
              <w:t xml:space="preserve">upply of </w:t>
            </w:r>
            <w:r>
              <w:rPr>
                <w:rFonts w:hint="eastAsia"/>
                <w:szCs w:val="21"/>
              </w:rPr>
              <w:t>E</w:t>
            </w:r>
            <w:r>
              <w:rPr>
                <w:szCs w:val="21"/>
              </w:rPr>
              <w:t xml:space="preserve">lectric </w:t>
            </w:r>
            <w:r>
              <w:rPr>
                <w:rFonts w:hint="eastAsia"/>
                <w:szCs w:val="21"/>
              </w:rPr>
              <w:t>P</w:t>
            </w:r>
            <w:r>
              <w:rPr>
                <w:szCs w:val="21"/>
              </w:rPr>
              <w:t xml:space="preserve">ower and </w:t>
            </w:r>
          </w:p>
          <w:p>
            <w:pPr>
              <w:spacing w:line="300" w:lineRule="exact"/>
              <w:ind w:firstLine="1260" w:firstLineChars="600"/>
              <w:rPr>
                <w:szCs w:val="21"/>
              </w:rPr>
            </w:pPr>
            <w:r>
              <w:rPr>
                <w:rFonts w:hint="eastAsia"/>
                <w:szCs w:val="21"/>
              </w:rPr>
              <w:t>H</w:t>
            </w:r>
            <w:r>
              <w:rPr>
                <w:szCs w:val="21"/>
              </w:rPr>
              <w:t xml:space="preserve">eat </w:t>
            </w:r>
            <w:r>
              <w:rPr>
                <w:rFonts w:hint="eastAsia"/>
                <w:szCs w:val="21"/>
              </w:rPr>
              <w:t>P</w:t>
            </w:r>
            <w:r>
              <w:rPr>
                <w:szCs w:val="21"/>
              </w:rPr>
              <w:t>ower</w:t>
            </w:r>
          </w:p>
        </w:tc>
        <w:tc>
          <w:tcPr>
            <w:tcW w:w="1469" w:type="dxa"/>
            <w:tcMar>
              <w:top w:w="20" w:type="dxa"/>
              <w:left w:w="20" w:type="dxa"/>
              <w:bottom w:w="0" w:type="dxa"/>
              <w:right w:w="20" w:type="dxa"/>
            </w:tcMar>
            <w:vAlign w:val="center"/>
          </w:tcPr>
          <w:p>
            <w:pPr>
              <w:spacing w:line="300" w:lineRule="exact"/>
              <w:ind w:right="315" w:rightChars="150"/>
              <w:jc w:val="right"/>
              <w:rPr>
                <w:szCs w:val="21"/>
              </w:rPr>
            </w:pPr>
            <w:r>
              <w:rPr>
                <w:szCs w:val="21"/>
              </w:rPr>
              <w:t>9.8</w:t>
            </w:r>
          </w:p>
        </w:tc>
        <w:tc>
          <w:tcPr>
            <w:tcW w:w="1269" w:type="dxa"/>
            <w:vAlign w:val="center"/>
          </w:tcPr>
          <w:p>
            <w:pPr>
              <w:spacing w:line="300" w:lineRule="exact"/>
              <w:ind w:right="315" w:rightChars="150"/>
              <w:jc w:val="right"/>
              <w:rPr>
                <w:szCs w:val="21"/>
              </w:rPr>
            </w:pPr>
            <w:r>
              <w:rPr>
                <w:szCs w:val="21"/>
              </w:rPr>
              <w:t>20.2</w:t>
            </w:r>
          </w:p>
        </w:tc>
      </w:tr>
    </w:tbl>
    <w:p>
      <w:pPr>
        <w:spacing w:line="240" w:lineRule="exact"/>
        <w:ind w:left="540" w:hanging="540" w:hangingChars="300"/>
        <w:rPr>
          <w:bCs/>
          <w:color w:val="auto"/>
          <w:sz w:val="18"/>
          <w:szCs w:val="18"/>
          <w:shd w:val="clear" w:color="auto" w:fill="auto"/>
        </w:rPr>
      </w:pPr>
      <w:r>
        <w:rPr>
          <w:rFonts w:hint="eastAsia"/>
          <w:bCs/>
          <w:color w:val="auto"/>
          <w:sz w:val="18"/>
          <w:szCs w:val="18"/>
          <w:shd w:val="clear" w:color="auto" w:fill="auto"/>
        </w:rPr>
        <w:t>N</w:t>
      </w:r>
      <w:r>
        <w:rPr>
          <w:bCs/>
          <w:color w:val="auto"/>
          <w:sz w:val="18"/>
          <w:szCs w:val="18"/>
          <w:shd w:val="clear" w:color="auto" w:fill="auto"/>
        </w:rPr>
        <w:t>ote: If eliminating the factor of COVID-19 vaccine production, the added value of industries above designated size in Beijing increased by 2.5% over the previous year.</w:t>
      </w:r>
    </w:p>
    <w:p>
      <w:pPr>
        <w:rPr>
          <w:bCs/>
          <w:szCs w:val="21"/>
        </w:rPr>
      </w:pPr>
    </w:p>
    <w:p>
      <w:pPr>
        <w:jc w:val="center"/>
        <w:rPr>
          <w:sz w:val="24"/>
        </w:rPr>
      </w:pPr>
      <w:r>
        <w:rPr>
          <w:b/>
          <w:sz w:val="24"/>
        </w:rPr>
        <w:t>Table 6: Major Product Output of Industrial Enterprises above Designated Size in 2022</w:t>
      </w:r>
    </w:p>
    <w:tbl>
      <w:tblPr>
        <w:tblStyle w:val="14"/>
        <w:tblW w:w="9042"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4582"/>
        <w:gridCol w:w="1896"/>
        <w:gridCol w:w="1188"/>
        <w:gridCol w:w="137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4582" w:type="dxa"/>
            <w:vAlign w:val="center"/>
          </w:tcPr>
          <w:p>
            <w:pPr>
              <w:jc w:val="center"/>
              <w:rPr>
                <w:szCs w:val="21"/>
              </w:rPr>
            </w:pPr>
            <w:r>
              <w:rPr>
                <w:szCs w:val="21"/>
              </w:rPr>
              <w:t xml:space="preserve">Product </w:t>
            </w:r>
          </w:p>
        </w:tc>
        <w:tc>
          <w:tcPr>
            <w:tcW w:w="1896" w:type="dxa"/>
            <w:vAlign w:val="center"/>
          </w:tcPr>
          <w:p>
            <w:pPr>
              <w:jc w:val="center"/>
              <w:rPr>
                <w:szCs w:val="21"/>
              </w:rPr>
            </w:pPr>
            <w:r>
              <w:rPr>
                <w:szCs w:val="21"/>
              </w:rPr>
              <w:t>Unit</w:t>
            </w:r>
          </w:p>
        </w:tc>
        <w:tc>
          <w:tcPr>
            <w:tcW w:w="1188" w:type="dxa"/>
            <w:vAlign w:val="center"/>
          </w:tcPr>
          <w:p>
            <w:pPr>
              <w:jc w:val="center"/>
              <w:rPr>
                <w:szCs w:val="21"/>
              </w:rPr>
            </w:pPr>
            <w:r>
              <w:rPr>
                <w:szCs w:val="21"/>
              </w:rPr>
              <w:t>Output</w:t>
            </w:r>
          </w:p>
        </w:tc>
        <w:tc>
          <w:tcPr>
            <w:tcW w:w="1376" w:type="dxa"/>
            <w:vAlign w:val="center"/>
          </w:tcPr>
          <w:p>
            <w:pPr>
              <w:jc w:val="center"/>
              <w:rPr>
                <w:szCs w:val="21"/>
              </w:rPr>
            </w:pPr>
            <w:r>
              <w:rPr>
                <w:szCs w:val="21"/>
              </w:rPr>
              <w:t>Increase over the previous year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4582" w:type="dxa"/>
            <w:vAlign w:val="center"/>
          </w:tcPr>
          <w:p>
            <w:pPr>
              <w:rPr>
                <w:szCs w:val="21"/>
              </w:rPr>
            </w:pPr>
            <w:r>
              <w:rPr>
                <w:szCs w:val="21"/>
              </w:rPr>
              <w:t>Fresh, Chilled Meat</w:t>
            </w:r>
          </w:p>
        </w:tc>
        <w:tc>
          <w:tcPr>
            <w:tcW w:w="1896" w:type="dxa"/>
            <w:vAlign w:val="center"/>
          </w:tcPr>
          <w:p>
            <w:pPr>
              <w:jc w:val="center"/>
              <w:rPr>
                <w:szCs w:val="21"/>
              </w:rPr>
            </w:pPr>
            <w:r>
              <w:rPr>
                <w:szCs w:val="21"/>
              </w:rPr>
              <w:t>10,000 tons</w:t>
            </w:r>
          </w:p>
        </w:tc>
        <w:tc>
          <w:tcPr>
            <w:tcW w:w="1188" w:type="dxa"/>
            <w:vAlign w:val="center"/>
          </w:tcPr>
          <w:p>
            <w:pPr>
              <w:ind w:right="210" w:rightChars="100"/>
              <w:jc w:val="right"/>
              <w:rPr>
                <w:szCs w:val="21"/>
              </w:rPr>
            </w:pPr>
            <w:r>
              <w:rPr>
                <w:szCs w:val="21"/>
              </w:rPr>
              <w:t>46.2</w:t>
            </w:r>
          </w:p>
        </w:tc>
        <w:tc>
          <w:tcPr>
            <w:tcW w:w="1376" w:type="dxa"/>
            <w:vAlign w:val="center"/>
          </w:tcPr>
          <w:p>
            <w:pPr>
              <w:tabs>
                <w:tab w:val="left" w:pos="1800"/>
              </w:tabs>
              <w:ind w:right="210" w:rightChars="100"/>
              <w:jc w:val="right"/>
              <w:rPr>
                <w:szCs w:val="21"/>
              </w:rPr>
            </w:pPr>
            <w:r>
              <w:rPr>
                <w:szCs w:val="21"/>
              </w:rPr>
              <w:t>-15.4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4582" w:type="dxa"/>
            <w:vAlign w:val="center"/>
          </w:tcPr>
          <w:p>
            <w:pPr>
              <w:rPr>
                <w:color w:val="auto"/>
                <w:szCs w:val="21"/>
                <w:shd w:val="clear" w:color="auto" w:fill="auto"/>
              </w:rPr>
            </w:pPr>
            <w:r>
              <w:rPr>
                <w:rFonts w:hint="eastAsia"/>
                <w:color w:val="auto"/>
                <w:szCs w:val="21"/>
                <w:shd w:val="clear" w:color="auto" w:fill="auto"/>
              </w:rPr>
              <w:t>D</w:t>
            </w:r>
            <w:r>
              <w:rPr>
                <w:color w:val="auto"/>
                <w:szCs w:val="21"/>
                <w:shd w:val="clear" w:color="auto" w:fill="auto"/>
              </w:rPr>
              <w:t xml:space="preserve">airy </w:t>
            </w:r>
            <w:r>
              <w:rPr>
                <w:rFonts w:hint="eastAsia"/>
                <w:color w:val="auto"/>
                <w:szCs w:val="21"/>
                <w:shd w:val="clear" w:color="auto" w:fill="auto"/>
              </w:rPr>
              <w:t>P</w:t>
            </w:r>
            <w:r>
              <w:rPr>
                <w:color w:val="auto"/>
                <w:szCs w:val="21"/>
                <w:shd w:val="clear" w:color="auto" w:fill="auto"/>
              </w:rPr>
              <w:t>roducts</w:t>
            </w:r>
          </w:p>
        </w:tc>
        <w:tc>
          <w:tcPr>
            <w:tcW w:w="1896" w:type="dxa"/>
            <w:vAlign w:val="center"/>
          </w:tcPr>
          <w:p>
            <w:pPr>
              <w:jc w:val="center"/>
              <w:rPr>
                <w:color w:val="auto"/>
                <w:szCs w:val="21"/>
                <w:shd w:val="clear" w:color="auto" w:fill="auto"/>
              </w:rPr>
            </w:pPr>
            <w:r>
              <w:rPr>
                <w:color w:val="auto"/>
                <w:szCs w:val="21"/>
                <w:shd w:val="clear" w:color="auto" w:fill="auto"/>
              </w:rPr>
              <w:t>10,000 tons</w:t>
            </w:r>
          </w:p>
        </w:tc>
        <w:tc>
          <w:tcPr>
            <w:tcW w:w="1188" w:type="dxa"/>
            <w:vAlign w:val="center"/>
          </w:tcPr>
          <w:p>
            <w:pPr>
              <w:ind w:right="210" w:rightChars="100"/>
              <w:jc w:val="right"/>
              <w:rPr>
                <w:color w:val="auto"/>
                <w:szCs w:val="21"/>
                <w:shd w:val="clear" w:color="auto" w:fill="auto"/>
              </w:rPr>
            </w:pPr>
            <w:r>
              <w:rPr>
                <w:color w:val="auto"/>
                <w:szCs w:val="21"/>
                <w:shd w:val="clear" w:color="auto" w:fill="auto"/>
              </w:rPr>
              <w:t>48.9</w:t>
            </w:r>
          </w:p>
        </w:tc>
        <w:tc>
          <w:tcPr>
            <w:tcW w:w="1376" w:type="dxa"/>
            <w:vAlign w:val="center"/>
          </w:tcPr>
          <w:p>
            <w:pPr>
              <w:tabs>
                <w:tab w:val="left" w:pos="1800"/>
              </w:tabs>
              <w:ind w:right="210" w:rightChars="100"/>
              <w:jc w:val="right"/>
              <w:rPr>
                <w:color w:val="auto"/>
                <w:szCs w:val="21"/>
                <w:shd w:val="clear" w:color="auto" w:fill="auto"/>
              </w:rPr>
            </w:pPr>
            <w:r>
              <w:rPr>
                <w:color w:val="auto"/>
                <w:szCs w:val="21"/>
                <w:shd w:val="clear" w:color="auto" w:fill="auto"/>
              </w:rPr>
              <w:t>-9.7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4582" w:type="dxa"/>
            <w:vAlign w:val="center"/>
          </w:tcPr>
          <w:p>
            <w:pPr>
              <w:rPr>
                <w:color w:val="auto"/>
                <w:szCs w:val="21"/>
                <w:shd w:val="clear" w:color="auto" w:fill="auto"/>
              </w:rPr>
            </w:pPr>
            <w:r>
              <w:rPr>
                <w:rFonts w:hint="eastAsia"/>
                <w:color w:val="auto"/>
                <w:szCs w:val="21"/>
                <w:shd w:val="clear" w:color="auto" w:fill="auto"/>
              </w:rPr>
              <w:t>B</w:t>
            </w:r>
            <w:r>
              <w:rPr>
                <w:color w:val="auto"/>
                <w:szCs w:val="21"/>
                <w:shd w:val="clear" w:color="auto" w:fill="auto"/>
              </w:rPr>
              <w:t xml:space="preserve">everage and </w:t>
            </w:r>
            <w:r>
              <w:rPr>
                <w:rFonts w:hint="eastAsia"/>
                <w:color w:val="auto"/>
                <w:szCs w:val="21"/>
                <w:shd w:val="clear" w:color="auto" w:fill="auto"/>
              </w:rPr>
              <w:t>A</w:t>
            </w:r>
            <w:r>
              <w:rPr>
                <w:color w:val="auto"/>
                <w:szCs w:val="21"/>
                <w:shd w:val="clear" w:color="auto" w:fill="auto"/>
              </w:rPr>
              <w:t>lcohol</w:t>
            </w:r>
          </w:p>
        </w:tc>
        <w:tc>
          <w:tcPr>
            <w:tcW w:w="1896" w:type="dxa"/>
            <w:vAlign w:val="center"/>
          </w:tcPr>
          <w:p>
            <w:pPr>
              <w:jc w:val="center"/>
              <w:rPr>
                <w:color w:val="auto"/>
                <w:szCs w:val="21"/>
                <w:shd w:val="clear" w:color="auto" w:fill="auto"/>
              </w:rPr>
            </w:pPr>
            <w:r>
              <w:rPr>
                <w:color w:val="auto"/>
                <w:szCs w:val="21"/>
                <w:shd w:val="clear" w:color="auto" w:fill="auto"/>
              </w:rPr>
              <w:t>10,000 KL</w:t>
            </w:r>
          </w:p>
        </w:tc>
        <w:tc>
          <w:tcPr>
            <w:tcW w:w="1188" w:type="dxa"/>
            <w:vAlign w:val="center"/>
          </w:tcPr>
          <w:p>
            <w:pPr>
              <w:ind w:right="210" w:rightChars="100"/>
              <w:jc w:val="right"/>
              <w:rPr>
                <w:color w:val="auto"/>
                <w:szCs w:val="21"/>
                <w:shd w:val="clear" w:color="auto" w:fill="auto"/>
              </w:rPr>
            </w:pPr>
            <w:r>
              <w:rPr>
                <w:rFonts w:hint="eastAsia"/>
                <w:color w:val="auto"/>
                <w:szCs w:val="21"/>
                <w:shd w:val="clear" w:color="auto" w:fill="auto"/>
              </w:rPr>
              <w:t>1</w:t>
            </w:r>
            <w:r>
              <w:rPr>
                <w:color w:val="auto"/>
                <w:szCs w:val="21"/>
                <w:shd w:val="clear" w:color="auto" w:fill="auto"/>
              </w:rPr>
              <w:t>29.1</w:t>
            </w:r>
          </w:p>
        </w:tc>
        <w:tc>
          <w:tcPr>
            <w:tcW w:w="1376" w:type="dxa"/>
            <w:vAlign w:val="center"/>
          </w:tcPr>
          <w:p>
            <w:pPr>
              <w:tabs>
                <w:tab w:val="left" w:pos="1800"/>
              </w:tabs>
              <w:ind w:right="210" w:rightChars="100"/>
              <w:jc w:val="right"/>
              <w:rPr>
                <w:color w:val="auto"/>
                <w:szCs w:val="21"/>
                <w:shd w:val="clear" w:color="auto" w:fill="auto"/>
              </w:rPr>
            </w:pPr>
            <w:r>
              <w:rPr>
                <w:color w:val="auto"/>
                <w:szCs w:val="21"/>
                <w:shd w:val="clear" w:color="auto" w:fill="auto"/>
              </w:rPr>
              <w:t>6.0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4582" w:type="dxa"/>
            <w:vAlign w:val="center"/>
          </w:tcPr>
          <w:p>
            <w:pPr>
              <w:rPr>
                <w:color w:val="auto"/>
                <w:szCs w:val="21"/>
                <w:shd w:val="clear" w:color="auto" w:fill="auto"/>
              </w:rPr>
            </w:pPr>
            <w:r>
              <w:rPr>
                <w:rFonts w:hint="eastAsia"/>
                <w:color w:val="auto"/>
                <w:szCs w:val="21"/>
                <w:shd w:val="clear" w:color="auto" w:fill="auto"/>
              </w:rPr>
              <w:t>C</w:t>
            </w:r>
            <w:r>
              <w:rPr>
                <w:color w:val="auto"/>
                <w:szCs w:val="21"/>
                <w:shd w:val="clear" w:color="auto" w:fill="auto"/>
              </w:rPr>
              <w:t>hemical Medicine Material</w:t>
            </w:r>
          </w:p>
        </w:tc>
        <w:tc>
          <w:tcPr>
            <w:tcW w:w="1896" w:type="dxa"/>
            <w:vAlign w:val="center"/>
          </w:tcPr>
          <w:p>
            <w:pPr>
              <w:jc w:val="center"/>
              <w:rPr>
                <w:color w:val="auto"/>
                <w:szCs w:val="21"/>
                <w:shd w:val="clear" w:color="auto" w:fill="auto"/>
              </w:rPr>
            </w:pPr>
            <w:r>
              <w:rPr>
                <w:color w:val="auto"/>
                <w:szCs w:val="21"/>
                <w:shd w:val="clear" w:color="auto" w:fill="auto"/>
              </w:rPr>
              <w:t>10,000 tons</w:t>
            </w:r>
          </w:p>
        </w:tc>
        <w:tc>
          <w:tcPr>
            <w:tcW w:w="1188" w:type="dxa"/>
            <w:vAlign w:val="center"/>
          </w:tcPr>
          <w:p>
            <w:pPr>
              <w:ind w:right="210" w:rightChars="100"/>
              <w:jc w:val="right"/>
              <w:rPr>
                <w:color w:val="auto"/>
                <w:szCs w:val="21"/>
                <w:shd w:val="clear" w:color="auto" w:fill="auto"/>
              </w:rPr>
            </w:pPr>
            <w:r>
              <w:rPr>
                <w:rFonts w:hint="eastAsia"/>
                <w:color w:val="auto"/>
                <w:szCs w:val="21"/>
                <w:shd w:val="clear" w:color="auto" w:fill="auto"/>
              </w:rPr>
              <w:t>1.6</w:t>
            </w:r>
          </w:p>
        </w:tc>
        <w:tc>
          <w:tcPr>
            <w:tcW w:w="1376" w:type="dxa"/>
            <w:vAlign w:val="center"/>
          </w:tcPr>
          <w:p>
            <w:pPr>
              <w:tabs>
                <w:tab w:val="left" w:pos="1800"/>
              </w:tabs>
              <w:ind w:right="210" w:rightChars="100"/>
              <w:jc w:val="right"/>
              <w:rPr>
                <w:color w:val="auto"/>
                <w:szCs w:val="21"/>
                <w:shd w:val="clear" w:color="auto" w:fill="auto"/>
              </w:rPr>
            </w:pPr>
            <w:r>
              <w:rPr>
                <w:rFonts w:hint="eastAsia"/>
                <w:color w:val="auto"/>
                <w:szCs w:val="21"/>
                <w:shd w:val="clear" w:color="auto" w:fill="auto"/>
              </w:rPr>
              <w:t>-2.2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4582" w:type="dxa"/>
            <w:vAlign w:val="center"/>
          </w:tcPr>
          <w:p>
            <w:pPr>
              <w:ind w:left="105" w:hanging="105" w:hangingChars="50"/>
              <w:rPr>
                <w:color w:val="auto"/>
                <w:szCs w:val="21"/>
                <w:shd w:val="clear" w:color="auto" w:fill="auto"/>
              </w:rPr>
            </w:pPr>
            <w:r>
              <w:rPr>
                <w:rFonts w:hint="eastAsia"/>
                <w:color w:val="auto"/>
                <w:szCs w:val="21"/>
                <w:shd w:val="clear" w:color="auto" w:fill="auto"/>
              </w:rPr>
              <w:t>Finished Traditional Chinese Herbal Medicine</w:t>
            </w:r>
          </w:p>
        </w:tc>
        <w:tc>
          <w:tcPr>
            <w:tcW w:w="1896" w:type="dxa"/>
            <w:vAlign w:val="center"/>
          </w:tcPr>
          <w:p>
            <w:pPr>
              <w:jc w:val="center"/>
              <w:rPr>
                <w:color w:val="auto"/>
                <w:szCs w:val="21"/>
                <w:shd w:val="clear" w:color="auto" w:fill="auto"/>
              </w:rPr>
            </w:pPr>
            <w:r>
              <w:rPr>
                <w:color w:val="auto"/>
                <w:szCs w:val="21"/>
                <w:shd w:val="clear" w:color="auto" w:fill="auto"/>
              </w:rPr>
              <w:t>10,000 tons</w:t>
            </w:r>
          </w:p>
        </w:tc>
        <w:tc>
          <w:tcPr>
            <w:tcW w:w="1188" w:type="dxa"/>
            <w:vAlign w:val="center"/>
          </w:tcPr>
          <w:p>
            <w:pPr>
              <w:ind w:right="210" w:rightChars="100"/>
              <w:jc w:val="right"/>
              <w:rPr>
                <w:color w:val="auto"/>
                <w:szCs w:val="21"/>
                <w:shd w:val="clear" w:color="auto" w:fill="auto"/>
              </w:rPr>
            </w:pPr>
            <w:r>
              <w:rPr>
                <w:color w:val="auto"/>
                <w:szCs w:val="21"/>
                <w:shd w:val="clear" w:color="auto" w:fill="auto"/>
              </w:rPr>
              <w:t>4.4</w:t>
            </w:r>
          </w:p>
        </w:tc>
        <w:tc>
          <w:tcPr>
            <w:tcW w:w="1376" w:type="dxa"/>
            <w:vAlign w:val="center"/>
          </w:tcPr>
          <w:p>
            <w:pPr>
              <w:tabs>
                <w:tab w:val="left" w:pos="1800"/>
              </w:tabs>
              <w:ind w:right="210" w:rightChars="100"/>
              <w:jc w:val="right"/>
              <w:rPr>
                <w:color w:val="auto"/>
                <w:szCs w:val="21"/>
                <w:shd w:val="clear" w:color="auto" w:fill="auto"/>
              </w:rPr>
            </w:pPr>
            <w:r>
              <w:rPr>
                <w:color w:val="auto"/>
                <w:szCs w:val="21"/>
                <w:shd w:val="clear" w:color="auto" w:fill="auto"/>
              </w:rPr>
              <w:t>15.4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4582" w:type="dxa"/>
            <w:vAlign w:val="center"/>
          </w:tcPr>
          <w:p>
            <w:pPr>
              <w:rPr>
                <w:color w:val="auto"/>
                <w:szCs w:val="21"/>
                <w:shd w:val="clear" w:color="auto" w:fill="auto"/>
              </w:rPr>
            </w:pPr>
            <w:r>
              <w:rPr>
                <w:color w:val="auto"/>
                <w:szCs w:val="21"/>
                <w:shd w:val="clear" w:color="auto" w:fill="auto"/>
              </w:rPr>
              <w:t xml:space="preserve">Machine-tools for </w:t>
            </w:r>
            <w:r>
              <w:rPr>
                <w:rFonts w:hint="eastAsia"/>
                <w:color w:val="auto"/>
                <w:szCs w:val="21"/>
                <w:shd w:val="clear" w:color="auto" w:fill="auto"/>
              </w:rPr>
              <w:t>C</w:t>
            </w:r>
            <w:r>
              <w:rPr>
                <w:color w:val="auto"/>
                <w:szCs w:val="21"/>
                <w:shd w:val="clear" w:color="auto" w:fill="auto"/>
              </w:rPr>
              <w:t xml:space="preserve">utting </w:t>
            </w:r>
            <w:r>
              <w:rPr>
                <w:rFonts w:hint="eastAsia"/>
                <w:color w:val="auto"/>
                <w:szCs w:val="21"/>
                <w:shd w:val="clear" w:color="auto" w:fill="auto"/>
              </w:rPr>
              <w:t>M</w:t>
            </w:r>
            <w:r>
              <w:rPr>
                <w:color w:val="auto"/>
                <w:szCs w:val="21"/>
                <w:shd w:val="clear" w:color="auto" w:fill="auto"/>
              </w:rPr>
              <w:t>etal</w:t>
            </w:r>
          </w:p>
        </w:tc>
        <w:tc>
          <w:tcPr>
            <w:tcW w:w="1896" w:type="dxa"/>
            <w:vAlign w:val="center"/>
          </w:tcPr>
          <w:p>
            <w:pPr>
              <w:jc w:val="center"/>
              <w:rPr>
                <w:color w:val="auto"/>
                <w:szCs w:val="21"/>
                <w:shd w:val="clear" w:color="auto" w:fill="auto"/>
              </w:rPr>
            </w:pPr>
            <w:r>
              <w:rPr>
                <w:rFonts w:hint="eastAsia"/>
                <w:color w:val="auto"/>
                <w:szCs w:val="21"/>
                <w:shd w:val="clear" w:color="auto" w:fill="auto"/>
              </w:rPr>
              <w:t>S</w:t>
            </w:r>
            <w:r>
              <w:rPr>
                <w:color w:val="auto"/>
                <w:szCs w:val="21"/>
                <w:shd w:val="clear" w:color="auto" w:fill="auto"/>
              </w:rPr>
              <w:t>et</w:t>
            </w:r>
          </w:p>
        </w:tc>
        <w:tc>
          <w:tcPr>
            <w:tcW w:w="1188" w:type="dxa"/>
            <w:vAlign w:val="center"/>
          </w:tcPr>
          <w:p>
            <w:pPr>
              <w:ind w:right="210" w:rightChars="100"/>
              <w:jc w:val="right"/>
              <w:rPr>
                <w:color w:val="auto"/>
                <w:szCs w:val="21"/>
                <w:shd w:val="clear" w:color="auto" w:fill="auto"/>
              </w:rPr>
            </w:pPr>
            <w:r>
              <w:rPr>
                <w:color w:val="auto"/>
                <w:szCs w:val="21"/>
                <w:shd w:val="clear" w:color="auto" w:fill="auto"/>
              </w:rPr>
              <w:t>6137</w:t>
            </w:r>
          </w:p>
        </w:tc>
        <w:tc>
          <w:tcPr>
            <w:tcW w:w="1376" w:type="dxa"/>
            <w:vAlign w:val="center"/>
          </w:tcPr>
          <w:p>
            <w:pPr>
              <w:ind w:right="210" w:rightChars="100"/>
              <w:jc w:val="right"/>
              <w:rPr>
                <w:color w:val="auto"/>
                <w:szCs w:val="21"/>
                <w:shd w:val="clear" w:color="auto" w:fill="auto"/>
              </w:rPr>
            </w:pPr>
            <w:r>
              <w:rPr>
                <w:rFonts w:hint="eastAsia"/>
                <w:color w:val="auto"/>
                <w:szCs w:val="21"/>
                <w:shd w:val="clear" w:color="auto" w:fill="auto"/>
              </w:rPr>
              <w:t>-</w:t>
            </w:r>
            <w:r>
              <w:rPr>
                <w:color w:val="auto"/>
                <w:szCs w:val="21"/>
                <w:shd w:val="clear" w:color="auto" w:fill="auto"/>
              </w:rPr>
              <w:t>15.6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4582" w:type="dxa"/>
            <w:vAlign w:val="center"/>
          </w:tcPr>
          <w:p>
            <w:pPr>
              <w:adjustRightInd w:val="0"/>
              <w:snapToGrid w:val="0"/>
              <w:ind w:firstLine="128" w:firstLineChars="61"/>
              <w:rPr>
                <w:color w:val="auto"/>
                <w:szCs w:val="21"/>
                <w:shd w:val="clear" w:color="auto" w:fill="auto"/>
              </w:rPr>
            </w:pPr>
            <w:r>
              <w:rPr>
                <w:rFonts w:hint="eastAsia"/>
                <w:color w:val="auto"/>
                <w:szCs w:val="21"/>
                <w:shd w:val="clear" w:color="auto" w:fill="auto"/>
              </w:rPr>
              <w:t xml:space="preserve">Of which: </w:t>
            </w:r>
            <w:r>
              <w:rPr>
                <w:color w:val="auto"/>
                <w:szCs w:val="21"/>
                <w:shd w:val="clear" w:color="auto" w:fill="auto"/>
              </w:rPr>
              <w:t>Digitally-controlled</w:t>
            </w:r>
          </w:p>
          <w:p>
            <w:pPr>
              <w:adjustRightInd w:val="0"/>
              <w:snapToGrid w:val="0"/>
              <w:ind w:firstLine="1176" w:firstLineChars="560"/>
              <w:rPr>
                <w:color w:val="auto"/>
                <w:szCs w:val="21"/>
                <w:shd w:val="clear" w:color="auto" w:fill="auto"/>
              </w:rPr>
            </w:pPr>
            <w:r>
              <w:rPr>
                <w:color w:val="auto"/>
                <w:szCs w:val="21"/>
                <w:shd w:val="clear" w:color="auto" w:fill="auto"/>
              </w:rPr>
              <w:t xml:space="preserve"> </w:t>
            </w:r>
            <w:r>
              <w:rPr>
                <w:rFonts w:hint="eastAsia"/>
                <w:color w:val="auto"/>
                <w:szCs w:val="21"/>
                <w:shd w:val="clear" w:color="auto" w:fill="auto"/>
              </w:rPr>
              <w:t>M</w:t>
            </w:r>
            <w:r>
              <w:rPr>
                <w:color w:val="auto"/>
                <w:szCs w:val="21"/>
                <w:shd w:val="clear" w:color="auto" w:fill="auto"/>
              </w:rPr>
              <w:t>achine-tools</w:t>
            </w:r>
            <w:r>
              <w:rPr>
                <w:rFonts w:hint="eastAsia"/>
                <w:color w:val="auto"/>
                <w:szCs w:val="21"/>
                <w:shd w:val="clear" w:color="auto" w:fill="auto"/>
              </w:rPr>
              <w:t xml:space="preserve"> </w:t>
            </w:r>
            <w:r>
              <w:rPr>
                <w:color w:val="auto"/>
                <w:szCs w:val="21"/>
                <w:shd w:val="clear" w:color="auto" w:fill="auto"/>
              </w:rPr>
              <w:t xml:space="preserve">for </w:t>
            </w:r>
            <w:r>
              <w:rPr>
                <w:rFonts w:hint="eastAsia"/>
                <w:color w:val="auto"/>
                <w:szCs w:val="21"/>
                <w:shd w:val="clear" w:color="auto" w:fill="auto"/>
              </w:rPr>
              <w:t>C</w:t>
            </w:r>
            <w:r>
              <w:rPr>
                <w:color w:val="auto"/>
                <w:szCs w:val="21"/>
                <w:shd w:val="clear" w:color="auto" w:fill="auto"/>
              </w:rPr>
              <w:t xml:space="preserve">utting </w:t>
            </w:r>
            <w:r>
              <w:rPr>
                <w:rFonts w:hint="eastAsia"/>
                <w:color w:val="auto"/>
                <w:szCs w:val="21"/>
                <w:shd w:val="clear" w:color="auto" w:fill="auto"/>
              </w:rPr>
              <w:t>M</w:t>
            </w:r>
            <w:r>
              <w:rPr>
                <w:color w:val="auto"/>
                <w:szCs w:val="21"/>
                <w:shd w:val="clear" w:color="auto" w:fill="auto"/>
              </w:rPr>
              <w:t>etal</w:t>
            </w:r>
            <w:r>
              <w:rPr>
                <w:rFonts w:hint="eastAsia"/>
                <w:color w:val="auto"/>
                <w:szCs w:val="21"/>
                <w:shd w:val="clear" w:color="auto" w:fill="auto"/>
              </w:rPr>
              <w:t xml:space="preserve"> </w:t>
            </w:r>
          </w:p>
        </w:tc>
        <w:tc>
          <w:tcPr>
            <w:tcW w:w="1896" w:type="dxa"/>
            <w:vAlign w:val="center"/>
          </w:tcPr>
          <w:p>
            <w:pPr>
              <w:jc w:val="center"/>
              <w:rPr>
                <w:color w:val="auto"/>
                <w:szCs w:val="21"/>
                <w:shd w:val="clear" w:color="auto" w:fill="auto"/>
              </w:rPr>
            </w:pPr>
            <w:r>
              <w:rPr>
                <w:rFonts w:hint="eastAsia"/>
                <w:color w:val="auto"/>
                <w:szCs w:val="21"/>
                <w:shd w:val="clear" w:color="auto" w:fill="auto"/>
              </w:rPr>
              <w:t>S</w:t>
            </w:r>
            <w:r>
              <w:rPr>
                <w:color w:val="auto"/>
                <w:szCs w:val="21"/>
                <w:shd w:val="clear" w:color="auto" w:fill="auto"/>
              </w:rPr>
              <w:t>et</w:t>
            </w:r>
          </w:p>
        </w:tc>
        <w:tc>
          <w:tcPr>
            <w:tcW w:w="1188" w:type="dxa"/>
            <w:vAlign w:val="center"/>
          </w:tcPr>
          <w:p>
            <w:pPr>
              <w:ind w:right="210" w:rightChars="100"/>
              <w:jc w:val="right"/>
              <w:rPr>
                <w:color w:val="auto"/>
                <w:szCs w:val="21"/>
                <w:shd w:val="clear" w:color="auto" w:fill="auto"/>
              </w:rPr>
            </w:pPr>
            <w:r>
              <w:rPr>
                <w:color w:val="auto"/>
                <w:szCs w:val="21"/>
                <w:shd w:val="clear" w:color="auto" w:fill="auto"/>
              </w:rPr>
              <w:t>5072</w:t>
            </w:r>
          </w:p>
        </w:tc>
        <w:tc>
          <w:tcPr>
            <w:tcW w:w="1376" w:type="dxa"/>
            <w:vAlign w:val="center"/>
          </w:tcPr>
          <w:p>
            <w:pPr>
              <w:ind w:right="210" w:rightChars="100"/>
              <w:jc w:val="right"/>
              <w:rPr>
                <w:color w:val="auto"/>
                <w:szCs w:val="21"/>
                <w:shd w:val="clear" w:color="auto" w:fill="auto"/>
              </w:rPr>
            </w:pPr>
            <w:r>
              <w:rPr>
                <w:rFonts w:hint="eastAsia"/>
                <w:color w:val="auto"/>
                <w:szCs w:val="21"/>
                <w:shd w:val="clear" w:color="auto" w:fill="auto"/>
              </w:rPr>
              <w:t>-</w:t>
            </w:r>
            <w:r>
              <w:rPr>
                <w:color w:val="auto"/>
                <w:szCs w:val="21"/>
                <w:shd w:val="clear" w:color="auto" w:fill="auto"/>
              </w:rPr>
              <w:t>17.9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4582" w:type="dxa"/>
            <w:vAlign w:val="center"/>
          </w:tcPr>
          <w:p>
            <w:pPr>
              <w:rPr>
                <w:color w:val="auto"/>
                <w:szCs w:val="21"/>
                <w:shd w:val="clear" w:color="auto" w:fill="auto"/>
              </w:rPr>
            </w:pPr>
            <w:r>
              <w:rPr>
                <w:rFonts w:hint="eastAsia"/>
                <w:color w:val="auto"/>
                <w:szCs w:val="21"/>
                <w:shd w:val="clear" w:color="auto" w:fill="auto"/>
              </w:rPr>
              <w:t>M</w:t>
            </w:r>
            <w:r>
              <w:rPr>
                <w:color w:val="auto"/>
                <w:szCs w:val="21"/>
                <w:shd w:val="clear" w:color="auto" w:fill="auto"/>
              </w:rPr>
              <w:t>edical Equipment and Appliances</w:t>
            </w:r>
          </w:p>
        </w:tc>
        <w:tc>
          <w:tcPr>
            <w:tcW w:w="1896" w:type="dxa"/>
            <w:vAlign w:val="center"/>
          </w:tcPr>
          <w:p>
            <w:pPr>
              <w:jc w:val="center"/>
              <w:rPr>
                <w:color w:val="auto"/>
                <w:szCs w:val="21"/>
                <w:shd w:val="clear" w:color="auto" w:fill="auto"/>
              </w:rPr>
            </w:pPr>
            <w:r>
              <w:rPr>
                <w:rFonts w:hint="eastAsia"/>
                <w:color w:val="auto"/>
                <w:szCs w:val="21"/>
                <w:shd w:val="clear" w:color="auto" w:fill="auto"/>
              </w:rPr>
              <w:t>S</w:t>
            </w:r>
            <w:r>
              <w:rPr>
                <w:color w:val="auto"/>
                <w:szCs w:val="21"/>
                <w:shd w:val="clear" w:color="auto" w:fill="auto"/>
              </w:rPr>
              <w:t>et</w:t>
            </w:r>
          </w:p>
        </w:tc>
        <w:tc>
          <w:tcPr>
            <w:tcW w:w="1188" w:type="dxa"/>
            <w:vAlign w:val="center"/>
          </w:tcPr>
          <w:p>
            <w:pPr>
              <w:ind w:right="210" w:rightChars="100"/>
              <w:jc w:val="right"/>
              <w:rPr>
                <w:color w:val="auto"/>
                <w:szCs w:val="21"/>
                <w:shd w:val="clear" w:color="auto" w:fill="auto"/>
              </w:rPr>
            </w:pPr>
            <w:r>
              <w:rPr>
                <w:color w:val="auto"/>
                <w:szCs w:val="21"/>
                <w:shd w:val="clear" w:color="auto" w:fill="auto"/>
              </w:rPr>
              <w:t>91898</w:t>
            </w:r>
          </w:p>
        </w:tc>
        <w:tc>
          <w:tcPr>
            <w:tcW w:w="1376" w:type="dxa"/>
            <w:vAlign w:val="center"/>
          </w:tcPr>
          <w:p>
            <w:pPr>
              <w:ind w:right="210" w:rightChars="100"/>
              <w:jc w:val="right"/>
              <w:rPr>
                <w:color w:val="auto"/>
                <w:szCs w:val="21"/>
                <w:shd w:val="clear" w:color="auto" w:fill="auto"/>
              </w:rPr>
            </w:pPr>
            <w:r>
              <w:rPr>
                <w:color w:val="auto"/>
                <w:szCs w:val="21"/>
                <w:shd w:val="clear" w:color="auto" w:fill="auto"/>
              </w:rPr>
              <w:t>-</w:t>
            </w:r>
            <w:r>
              <w:rPr>
                <w:rFonts w:hint="eastAsia"/>
                <w:color w:val="auto"/>
                <w:szCs w:val="21"/>
                <w:shd w:val="clear" w:color="auto" w:fill="auto"/>
              </w:rPr>
              <w:t>7</w:t>
            </w:r>
            <w:r>
              <w:rPr>
                <w:color w:val="auto"/>
                <w:szCs w:val="21"/>
                <w:shd w:val="clear" w:color="auto" w:fill="auto"/>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4582" w:type="dxa"/>
            <w:vAlign w:val="center"/>
          </w:tcPr>
          <w:p>
            <w:pPr>
              <w:rPr>
                <w:color w:val="auto"/>
                <w:szCs w:val="21"/>
                <w:shd w:val="clear" w:color="auto" w:fill="auto"/>
              </w:rPr>
            </w:pPr>
            <w:r>
              <w:rPr>
                <w:color w:val="auto"/>
                <w:szCs w:val="21"/>
                <w:shd w:val="clear" w:color="auto" w:fill="auto"/>
              </w:rPr>
              <w:t>Industrial Robot</w:t>
            </w:r>
          </w:p>
        </w:tc>
        <w:tc>
          <w:tcPr>
            <w:tcW w:w="1896" w:type="dxa"/>
            <w:vAlign w:val="center"/>
          </w:tcPr>
          <w:p>
            <w:pPr>
              <w:jc w:val="center"/>
              <w:rPr>
                <w:color w:val="auto"/>
                <w:szCs w:val="21"/>
                <w:shd w:val="clear" w:color="auto" w:fill="auto"/>
              </w:rPr>
            </w:pPr>
            <w:r>
              <w:rPr>
                <w:color w:val="auto"/>
                <w:szCs w:val="21"/>
                <w:shd w:val="clear" w:color="auto" w:fill="auto"/>
              </w:rPr>
              <w:t>Set</w:t>
            </w:r>
          </w:p>
        </w:tc>
        <w:tc>
          <w:tcPr>
            <w:tcW w:w="1188" w:type="dxa"/>
            <w:vAlign w:val="center"/>
          </w:tcPr>
          <w:p>
            <w:pPr>
              <w:ind w:right="210" w:rightChars="100"/>
              <w:jc w:val="right"/>
              <w:rPr>
                <w:color w:val="auto"/>
                <w:szCs w:val="21"/>
                <w:shd w:val="clear" w:color="auto" w:fill="auto"/>
              </w:rPr>
            </w:pPr>
            <w:r>
              <w:rPr>
                <w:color w:val="auto"/>
                <w:szCs w:val="21"/>
                <w:shd w:val="clear" w:color="auto" w:fill="auto"/>
              </w:rPr>
              <w:t>2047</w:t>
            </w:r>
          </w:p>
        </w:tc>
        <w:tc>
          <w:tcPr>
            <w:tcW w:w="1376" w:type="dxa"/>
            <w:vAlign w:val="center"/>
          </w:tcPr>
          <w:p>
            <w:pPr>
              <w:ind w:right="210" w:rightChars="100"/>
              <w:jc w:val="right"/>
              <w:rPr>
                <w:color w:val="auto"/>
                <w:szCs w:val="21"/>
                <w:shd w:val="clear" w:color="auto" w:fill="auto"/>
              </w:rPr>
            </w:pPr>
            <w:r>
              <w:rPr>
                <w:color w:val="auto"/>
                <w:szCs w:val="21"/>
                <w:shd w:val="clear" w:color="auto" w:fill="auto"/>
              </w:rPr>
              <w:t>10.8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4582" w:type="dxa"/>
            <w:vAlign w:val="center"/>
          </w:tcPr>
          <w:p>
            <w:pPr>
              <w:rPr>
                <w:color w:val="auto"/>
                <w:szCs w:val="21"/>
                <w:shd w:val="clear" w:color="auto" w:fill="auto"/>
              </w:rPr>
            </w:pPr>
            <w:r>
              <w:rPr>
                <w:color w:val="auto"/>
                <w:szCs w:val="21"/>
                <w:shd w:val="clear" w:color="auto" w:fill="auto"/>
              </w:rPr>
              <w:t>Automobile</w:t>
            </w:r>
          </w:p>
        </w:tc>
        <w:tc>
          <w:tcPr>
            <w:tcW w:w="1896" w:type="dxa"/>
            <w:vAlign w:val="center"/>
          </w:tcPr>
          <w:p>
            <w:pPr>
              <w:jc w:val="center"/>
              <w:rPr>
                <w:color w:val="auto"/>
                <w:szCs w:val="21"/>
                <w:shd w:val="clear" w:color="auto" w:fill="auto"/>
              </w:rPr>
            </w:pPr>
            <w:r>
              <w:rPr>
                <w:color w:val="auto"/>
                <w:szCs w:val="21"/>
                <w:shd w:val="clear" w:color="auto" w:fill="auto"/>
              </w:rPr>
              <w:t>10,000 units</w:t>
            </w:r>
          </w:p>
        </w:tc>
        <w:tc>
          <w:tcPr>
            <w:tcW w:w="1188" w:type="dxa"/>
            <w:vAlign w:val="center"/>
          </w:tcPr>
          <w:p>
            <w:pPr>
              <w:ind w:right="210" w:rightChars="100"/>
              <w:jc w:val="right"/>
              <w:rPr>
                <w:color w:val="auto"/>
                <w:szCs w:val="21"/>
                <w:shd w:val="clear" w:color="auto" w:fill="auto"/>
              </w:rPr>
            </w:pPr>
            <w:r>
              <w:rPr>
                <w:color w:val="auto"/>
                <w:szCs w:val="21"/>
                <w:shd w:val="clear" w:color="auto" w:fill="auto"/>
              </w:rPr>
              <w:t>87.1</w:t>
            </w:r>
          </w:p>
        </w:tc>
        <w:tc>
          <w:tcPr>
            <w:tcW w:w="1376" w:type="dxa"/>
            <w:vAlign w:val="center"/>
          </w:tcPr>
          <w:p>
            <w:pPr>
              <w:tabs>
                <w:tab w:val="left" w:pos="1800"/>
              </w:tabs>
              <w:ind w:right="210" w:rightChars="100"/>
              <w:jc w:val="right"/>
              <w:rPr>
                <w:color w:val="auto"/>
                <w:szCs w:val="21"/>
                <w:shd w:val="clear" w:color="auto" w:fill="auto"/>
              </w:rPr>
            </w:pPr>
            <w:r>
              <w:rPr>
                <w:rFonts w:hint="eastAsia"/>
                <w:color w:val="auto"/>
                <w:szCs w:val="21"/>
                <w:shd w:val="clear" w:color="auto" w:fill="auto"/>
              </w:rPr>
              <w:t>-</w:t>
            </w:r>
            <w:r>
              <w:rPr>
                <w:color w:val="auto"/>
                <w:szCs w:val="21"/>
                <w:shd w:val="clear" w:color="auto" w:fill="auto"/>
              </w:rPr>
              <w:t>6.6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4582" w:type="dxa"/>
            <w:vAlign w:val="center"/>
          </w:tcPr>
          <w:p>
            <w:pPr>
              <w:ind w:firstLine="105" w:firstLineChars="50"/>
              <w:rPr>
                <w:color w:val="auto"/>
                <w:szCs w:val="21"/>
                <w:shd w:val="clear" w:color="auto" w:fill="auto"/>
              </w:rPr>
            </w:pPr>
            <w:r>
              <w:rPr>
                <w:rFonts w:hint="eastAsia"/>
                <w:color w:val="auto"/>
                <w:szCs w:val="21"/>
                <w:shd w:val="clear" w:color="auto" w:fill="auto"/>
              </w:rPr>
              <w:t xml:space="preserve">Of which: </w:t>
            </w:r>
            <w:r>
              <w:rPr>
                <w:color w:val="auto"/>
                <w:szCs w:val="21"/>
                <w:shd w:val="clear" w:color="auto" w:fill="auto"/>
              </w:rPr>
              <w:t>Basic Car</w:t>
            </w:r>
          </w:p>
        </w:tc>
        <w:tc>
          <w:tcPr>
            <w:tcW w:w="1896" w:type="dxa"/>
            <w:vAlign w:val="center"/>
          </w:tcPr>
          <w:p>
            <w:pPr>
              <w:jc w:val="center"/>
              <w:rPr>
                <w:color w:val="auto"/>
                <w:szCs w:val="21"/>
                <w:shd w:val="clear" w:color="auto" w:fill="auto"/>
              </w:rPr>
            </w:pPr>
            <w:r>
              <w:rPr>
                <w:color w:val="auto"/>
                <w:szCs w:val="21"/>
                <w:shd w:val="clear" w:color="auto" w:fill="auto"/>
              </w:rPr>
              <w:t>10,000 units</w:t>
            </w:r>
          </w:p>
        </w:tc>
        <w:tc>
          <w:tcPr>
            <w:tcW w:w="1188" w:type="dxa"/>
            <w:vAlign w:val="center"/>
          </w:tcPr>
          <w:p>
            <w:pPr>
              <w:ind w:right="210" w:rightChars="100"/>
              <w:jc w:val="right"/>
              <w:rPr>
                <w:color w:val="auto"/>
                <w:szCs w:val="21"/>
                <w:shd w:val="clear" w:color="auto" w:fill="auto"/>
              </w:rPr>
            </w:pPr>
            <w:r>
              <w:rPr>
                <w:color w:val="auto"/>
                <w:szCs w:val="21"/>
                <w:shd w:val="clear" w:color="auto" w:fill="auto"/>
              </w:rPr>
              <w:t>46.5</w:t>
            </w:r>
          </w:p>
        </w:tc>
        <w:tc>
          <w:tcPr>
            <w:tcW w:w="1376" w:type="dxa"/>
            <w:vAlign w:val="center"/>
          </w:tcPr>
          <w:p>
            <w:pPr>
              <w:tabs>
                <w:tab w:val="left" w:pos="1800"/>
              </w:tabs>
              <w:ind w:right="210" w:rightChars="100"/>
              <w:jc w:val="right"/>
              <w:rPr>
                <w:color w:val="auto"/>
                <w:szCs w:val="21"/>
                <w:shd w:val="clear" w:color="auto" w:fill="auto"/>
              </w:rPr>
            </w:pPr>
            <w:r>
              <w:rPr>
                <w:rFonts w:hint="eastAsia"/>
                <w:color w:val="auto"/>
                <w:szCs w:val="21"/>
                <w:shd w:val="clear" w:color="auto" w:fill="auto"/>
              </w:rPr>
              <w:t>-</w:t>
            </w:r>
            <w:r>
              <w:rPr>
                <w:color w:val="auto"/>
                <w:szCs w:val="21"/>
                <w:shd w:val="clear" w:color="auto" w:fill="auto"/>
              </w:rPr>
              <w:t>11.0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4582" w:type="dxa"/>
            <w:vAlign w:val="center"/>
          </w:tcPr>
          <w:p>
            <w:pPr>
              <w:rPr>
                <w:color w:val="auto"/>
                <w:szCs w:val="21"/>
                <w:shd w:val="clear" w:color="auto" w:fill="auto"/>
              </w:rPr>
            </w:pPr>
            <w:r>
              <w:rPr>
                <w:rFonts w:hint="eastAsia"/>
                <w:color w:val="auto"/>
                <w:szCs w:val="21"/>
                <w:shd w:val="clear" w:color="auto" w:fill="auto"/>
              </w:rPr>
              <w:t xml:space="preserve">           </w:t>
            </w:r>
            <w:r>
              <w:rPr>
                <w:color w:val="auto"/>
                <w:szCs w:val="21"/>
                <w:shd w:val="clear" w:color="auto" w:fill="auto"/>
              </w:rPr>
              <w:t>SUV</w:t>
            </w:r>
          </w:p>
        </w:tc>
        <w:tc>
          <w:tcPr>
            <w:tcW w:w="1896" w:type="dxa"/>
            <w:vAlign w:val="center"/>
          </w:tcPr>
          <w:p>
            <w:pPr>
              <w:jc w:val="center"/>
              <w:rPr>
                <w:color w:val="auto"/>
                <w:szCs w:val="21"/>
                <w:shd w:val="clear" w:color="auto" w:fill="auto"/>
              </w:rPr>
            </w:pPr>
            <w:r>
              <w:rPr>
                <w:color w:val="auto"/>
                <w:szCs w:val="21"/>
                <w:shd w:val="clear" w:color="auto" w:fill="auto"/>
              </w:rPr>
              <w:t>10,000 units</w:t>
            </w:r>
          </w:p>
        </w:tc>
        <w:tc>
          <w:tcPr>
            <w:tcW w:w="1188" w:type="dxa"/>
            <w:vAlign w:val="center"/>
          </w:tcPr>
          <w:p>
            <w:pPr>
              <w:ind w:right="210" w:rightChars="100"/>
              <w:jc w:val="right"/>
              <w:rPr>
                <w:color w:val="auto"/>
                <w:szCs w:val="21"/>
                <w:shd w:val="clear" w:color="auto" w:fill="auto"/>
              </w:rPr>
            </w:pPr>
            <w:r>
              <w:rPr>
                <w:rFonts w:hint="eastAsia"/>
                <w:color w:val="auto"/>
                <w:szCs w:val="21"/>
                <w:shd w:val="clear" w:color="auto" w:fill="auto"/>
              </w:rPr>
              <w:t>3</w:t>
            </w:r>
            <w:r>
              <w:rPr>
                <w:color w:val="auto"/>
                <w:szCs w:val="21"/>
                <w:shd w:val="clear" w:color="auto" w:fill="auto"/>
              </w:rPr>
              <w:t>5.1</w:t>
            </w:r>
          </w:p>
        </w:tc>
        <w:tc>
          <w:tcPr>
            <w:tcW w:w="1376" w:type="dxa"/>
            <w:vAlign w:val="center"/>
          </w:tcPr>
          <w:p>
            <w:pPr>
              <w:tabs>
                <w:tab w:val="left" w:pos="1800"/>
              </w:tabs>
              <w:ind w:right="210" w:rightChars="100"/>
              <w:jc w:val="right"/>
              <w:rPr>
                <w:color w:val="auto"/>
                <w:szCs w:val="21"/>
                <w:shd w:val="clear" w:color="auto" w:fill="auto"/>
              </w:rPr>
            </w:pPr>
            <w:r>
              <w:rPr>
                <w:color w:val="auto"/>
                <w:szCs w:val="21"/>
                <w:shd w:val="clear" w:color="auto" w:fill="auto"/>
              </w:rPr>
              <w:t>13.6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4582" w:type="dxa"/>
            <w:vAlign w:val="center"/>
          </w:tcPr>
          <w:p>
            <w:pPr>
              <w:ind w:firstLine="105" w:firstLineChars="50"/>
              <w:rPr>
                <w:color w:val="auto"/>
                <w:szCs w:val="21"/>
                <w:shd w:val="clear" w:color="auto" w:fill="auto"/>
              </w:rPr>
            </w:pPr>
            <w:bookmarkStart w:id="31" w:name="_GoBack"/>
            <w:bookmarkEnd w:id="31"/>
            <w:r>
              <w:rPr>
                <w:rFonts w:hint="eastAsia"/>
                <w:color w:val="auto"/>
                <w:szCs w:val="21"/>
                <w:shd w:val="clear" w:color="auto" w:fill="auto"/>
              </w:rPr>
              <w:t xml:space="preserve">Of which: </w:t>
            </w:r>
            <w:r>
              <w:rPr>
                <w:color w:val="auto"/>
                <w:szCs w:val="21"/>
                <w:shd w:val="clear" w:color="auto" w:fill="auto"/>
              </w:rPr>
              <w:t xml:space="preserve">New </w:t>
            </w:r>
            <w:r>
              <w:rPr>
                <w:rFonts w:hint="eastAsia"/>
                <w:color w:val="auto"/>
                <w:szCs w:val="21"/>
                <w:shd w:val="clear" w:color="auto" w:fill="auto"/>
              </w:rPr>
              <w:t>E</w:t>
            </w:r>
            <w:r>
              <w:rPr>
                <w:color w:val="auto"/>
                <w:szCs w:val="21"/>
                <w:shd w:val="clear" w:color="auto" w:fill="auto"/>
              </w:rPr>
              <w:t xml:space="preserve">nergy </w:t>
            </w:r>
            <w:r>
              <w:rPr>
                <w:rFonts w:hint="eastAsia"/>
                <w:color w:val="auto"/>
                <w:szCs w:val="21"/>
                <w:shd w:val="clear" w:color="auto" w:fill="auto"/>
              </w:rPr>
              <w:t>V</w:t>
            </w:r>
            <w:r>
              <w:rPr>
                <w:color w:val="auto"/>
                <w:szCs w:val="21"/>
                <w:shd w:val="clear" w:color="auto" w:fill="auto"/>
              </w:rPr>
              <w:t>ehicle</w:t>
            </w:r>
          </w:p>
        </w:tc>
        <w:tc>
          <w:tcPr>
            <w:tcW w:w="1896" w:type="dxa"/>
            <w:vAlign w:val="center"/>
          </w:tcPr>
          <w:p>
            <w:pPr>
              <w:jc w:val="center"/>
              <w:rPr>
                <w:color w:val="auto"/>
                <w:szCs w:val="21"/>
                <w:shd w:val="clear" w:color="auto" w:fill="auto"/>
              </w:rPr>
            </w:pPr>
            <w:r>
              <w:rPr>
                <w:color w:val="auto"/>
                <w:szCs w:val="21"/>
                <w:shd w:val="clear" w:color="auto" w:fill="auto"/>
              </w:rPr>
              <w:t>Unit</w:t>
            </w:r>
          </w:p>
        </w:tc>
        <w:tc>
          <w:tcPr>
            <w:tcW w:w="1188" w:type="dxa"/>
            <w:vAlign w:val="center"/>
          </w:tcPr>
          <w:p>
            <w:pPr>
              <w:ind w:right="210" w:rightChars="100"/>
              <w:jc w:val="right"/>
              <w:rPr>
                <w:color w:val="auto"/>
                <w:szCs w:val="21"/>
                <w:shd w:val="clear" w:color="auto" w:fill="auto"/>
              </w:rPr>
            </w:pPr>
            <w:r>
              <w:rPr>
                <w:color w:val="auto"/>
                <w:szCs w:val="21"/>
                <w:shd w:val="clear" w:color="auto" w:fill="auto"/>
              </w:rPr>
              <w:t>29951</w:t>
            </w:r>
          </w:p>
        </w:tc>
        <w:tc>
          <w:tcPr>
            <w:tcW w:w="1376" w:type="dxa"/>
            <w:vAlign w:val="center"/>
          </w:tcPr>
          <w:p>
            <w:pPr>
              <w:ind w:right="210" w:rightChars="100"/>
              <w:jc w:val="right"/>
              <w:rPr>
                <w:color w:val="auto"/>
                <w:szCs w:val="21"/>
                <w:shd w:val="clear" w:color="auto" w:fill="auto"/>
              </w:rPr>
            </w:pPr>
            <w:r>
              <w:rPr>
                <w:color w:val="auto"/>
                <w:szCs w:val="21"/>
                <w:shd w:val="clear" w:color="auto" w:fill="auto"/>
              </w:rPr>
              <w:t>186.4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4582" w:type="dxa"/>
            <w:vAlign w:val="center"/>
          </w:tcPr>
          <w:p>
            <w:pPr>
              <w:adjustRightInd w:val="0"/>
              <w:snapToGrid w:val="0"/>
              <w:rPr>
                <w:color w:val="auto"/>
                <w:szCs w:val="21"/>
                <w:shd w:val="clear" w:color="auto" w:fill="auto"/>
              </w:rPr>
            </w:pPr>
            <w:r>
              <w:rPr>
                <w:rFonts w:hint="eastAsia"/>
                <w:color w:val="auto"/>
                <w:szCs w:val="21"/>
                <w:shd w:val="clear" w:color="auto" w:fill="auto"/>
              </w:rPr>
              <w:t>C</w:t>
            </w:r>
            <w:r>
              <w:rPr>
                <w:color w:val="auto"/>
                <w:szCs w:val="21"/>
                <w:shd w:val="clear" w:color="auto" w:fill="auto"/>
              </w:rPr>
              <w:t>omplete Computer</w:t>
            </w:r>
          </w:p>
        </w:tc>
        <w:tc>
          <w:tcPr>
            <w:tcW w:w="1896" w:type="dxa"/>
            <w:vAlign w:val="center"/>
          </w:tcPr>
          <w:p>
            <w:pPr>
              <w:jc w:val="center"/>
              <w:rPr>
                <w:color w:val="auto"/>
                <w:szCs w:val="21"/>
                <w:shd w:val="clear" w:color="auto" w:fill="auto"/>
              </w:rPr>
            </w:pPr>
            <w:r>
              <w:rPr>
                <w:color w:val="auto"/>
                <w:szCs w:val="21"/>
                <w:shd w:val="clear" w:color="auto" w:fill="auto"/>
              </w:rPr>
              <w:t>10,000 units</w:t>
            </w:r>
          </w:p>
        </w:tc>
        <w:tc>
          <w:tcPr>
            <w:tcW w:w="1188" w:type="dxa"/>
            <w:vAlign w:val="center"/>
          </w:tcPr>
          <w:p>
            <w:pPr>
              <w:ind w:right="210" w:rightChars="100"/>
              <w:jc w:val="right"/>
              <w:rPr>
                <w:color w:val="auto"/>
                <w:szCs w:val="21"/>
                <w:shd w:val="clear" w:color="auto" w:fill="auto"/>
              </w:rPr>
            </w:pPr>
            <w:r>
              <w:rPr>
                <w:rFonts w:hint="eastAsia"/>
                <w:color w:val="auto"/>
                <w:szCs w:val="21"/>
                <w:shd w:val="clear" w:color="auto" w:fill="auto"/>
              </w:rPr>
              <w:t>861.4</w:t>
            </w:r>
          </w:p>
        </w:tc>
        <w:tc>
          <w:tcPr>
            <w:tcW w:w="1376" w:type="dxa"/>
            <w:vAlign w:val="center"/>
          </w:tcPr>
          <w:p>
            <w:pPr>
              <w:ind w:right="210" w:rightChars="100"/>
              <w:jc w:val="right"/>
              <w:rPr>
                <w:color w:val="auto"/>
                <w:szCs w:val="21"/>
                <w:shd w:val="clear" w:color="auto" w:fill="auto"/>
              </w:rPr>
            </w:pPr>
            <w:r>
              <w:rPr>
                <w:rFonts w:hint="eastAsia"/>
                <w:color w:val="auto"/>
                <w:szCs w:val="21"/>
                <w:shd w:val="clear" w:color="auto" w:fill="auto"/>
              </w:rPr>
              <w:t>32.6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4582" w:type="dxa"/>
            <w:vAlign w:val="center"/>
          </w:tcPr>
          <w:p>
            <w:pPr>
              <w:adjustRightInd w:val="0"/>
              <w:snapToGrid w:val="0"/>
              <w:ind w:firstLine="105" w:firstLineChars="50"/>
              <w:rPr>
                <w:color w:val="auto"/>
                <w:szCs w:val="21"/>
                <w:shd w:val="clear" w:color="auto" w:fill="auto"/>
              </w:rPr>
            </w:pPr>
            <w:r>
              <w:rPr>
                <w:rFonts w:hint="eastAsia"/>
                <w:color w:val="auto"/>
                <w:szCs w:val="21"/>
                <w:shd w:val="clear" w:color="auto" w:fill="auto"/>
              </w:rPr>
              <w:t xml:space="preserve">Of which: </w:t>
            </w:r>
            <w:r>
              <w:rPr>
                <w:color w:val="auto"/>
                <w:szCs w:val="21"/>
                <w:shd w:val="clear" w:color="auto" w:fill="auto"/>
              </w:rPr>
              <w:t xml:space="preserve">Micro-computer </w:t>
            </w:r>
            <w:r>
              <w:rPr>
                <w:rFonts w:hint="eastAsia"/>
                <w:color w:val="auto"/>
                <w:szCs w:val="21"/>
                <w:shd w:val="clear" w:color="auto" w:fill="auto"/>
              </w:rPr>
              <w:t>E</w:t>
            </w:r>
            <w:r>
              <w:rPr>
                <w:color w:val="auto"/>
                <w:szCs w:val="21"/>
                <w:shd w:val="clear" w:color="auto" w:fill="auto"/>
              </w:rPr>
              <w:t>quipment</w:t>
            </w:r>
          </w:p>
        </w:tc>
        <w:tc>
          <w:tcPr>
            <w:tcW w:w="1896" w:type="dxa"/>
            <w:vAlign w:val="center"/>
          </w:tcPr>
          <w:p>
            <w:pPr>
              <w:jc w:val="center"/>
              <w:rPr>
                <w:color w:val="auto"/>
                <w:szCs w:val="21"/>
                <w:shd w:val="clear" w:color="auto" w:fill="auto"/>
              </w:rPr>
            </w:pPr>
            <w:r>
              <w:rPr>
                <w:color w:val="auto"/>
                <w:szCs w:val="21"/>
                <w:shd w:val="clear" w:color="auto" w:fill="auto"/>
              </w:rPr>
              <w:t>10,000 units</w:t>
            </w:r>
          </w:p>
        </w:tc>
        <w:tc>
          <w:tcPr>
            <w:tcW w:w="1188" w:type="dxa"/>
            <w:vAlign w:val="center"/>
          </w:tcPr>
          <w:p>
            <w:pPr>
              <w:ind w:right="210" w:rightChars="100"/>
              <w:jc w:val="right"/>
              <w:rPr>
                <w:color w:val="auto"/>
                <w:szCs w:val="21"/>
                <w:shd w:val="clear" w:color="auto" w:fill="auto"/>
              </w:rPr>
            </w:pPr>
            <w:r>
              <w:rPr>
                <w:color w:val="auto"/>
                <w:szCs w:val="21"/>
                <w:shd w:val="clear" w:color="auto" w:fill="auto"/>
              </w:rPr>
              <w:t>858.6</w:t>
            </w:r>
          </w:p>
        </w:tc>
        <w:tc>
          <w:tcPr>
            <w:tcW w:w="1376" w:type="dxa"/>
            <w:vAlign w:val="center"/>
          </w:tcPr>
          <w:p>
            <w:pPr>
              <w:ind w:right="210" w:rightChars="100"/>
              <w:jc w:val="right"/>
              <w:rPr>
                <w:color w:val="auto"/>
                <w:szCs w:val="21"/>
                <w:shd w:val="clear" w:color="auto" w:fill="auto"/>
              </w:rPr>
            </w:pPr>
            <w:r>
              <w:rPr>
                <w:color w:val="auto"/>
                <w:szCs w:val="21"/>
                <w:shd w:val="clear" w:color="auto" w:fill="auto"/>
              </w:rPr>
              <w:t>32.6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4582" w:type="dxa"/>
            <w:vAlign w:val="center"/>
          </w:tcPr>
          <w:p>
            <w:pPr>
              <w:rPr>
                <w:color w:val="auto"/>
                <w:szCs w:val="21"/>
                <w:shd w:val="clear" w:color="auto" w:fill="auto"/>
              </w:rPr>
            </w:pPr>
            <w:r>
              <w:rPr>
                <w:color w:val="auto"/>
                <w:szCs w:val="21"/>
                <w:shd w:val="clear" w:color="auto" w:fill="auto"/>
              </w:rPr>
              <w:t>Display</w:t>
            </w:r>
          </w:p>
        </w:tc>
        <w:tc>
          <w:tcPr>
            <w:tcW w:w="1896" w:type="dxa"/>
            <w:vAlign w:val="center"/>
          </w:tcPr>
          <w:p>
            <w:pPr>
              <w:jc w:val="center"/>
              <w:rPr>
                <w:color w:val="auto"/>
                <w:szCs w:val="21"/>
                <w:shd w:val="clear" w:color="auto" w:fill="auto"/>
              </w:rPr>
            </w:pPr>
            <w:r>
              <w:rPr>
                <w:color w:val="auto"/>
                <w:szCs w:val="21"/>
                <w:shd w:val="clear" w:color="auto" w:fill="auto"/>
              </w:rPr>
              <w:t>10,000 units</w:t>
            </w:r>
          </w:p>
        </w:tc>
        <w:tc>
          <w:tcPr>
            <w:tcW w:w="1188" w:type="dxa"/>
            <w:vAlign w:val="center"/>
          </w:tcPr>
          <w:p>
            <w:pPr>
              <w:ind w:right="210" w:rightChars="100"/>
              <w:jc w:val="right"/>
              <w:rPr>
                <w:color w:val="auto"/>
                <w:szCs w:val="21"/>
                <w:shd w:val="clear" w:color="auto" w:fill="auto"/>
              </w:rPr>
            </w:pPr>
            <w:r>
              <w:rPr>
                <w:color w:val="auto"/>
                <w:szCs w:val="21"/>
                <w:shd w:val="clear" w:color="auto" w:fill="auto"/>
              </w:rPr>
              <w:t>233.6</w:t>
            </w:r>
          </w:p>
        </w:tc>
        <w:tc>
          <w:tcPr>
            <w:tcW w:w="1376" w:type="dxa"/>
            <w:vAlign w:val="center"/>
          </w:tcPr>
          <w:p>
            <w:pPr>
              <w:ind w:right="210" w:rightChars="100"/>
              <w:jc w:val="right"/>
              <w:rPr>
                <w:color w:val="auto"/>
                <w:szCs w:val="21"/>
                <w:shd w:val="clear" w:color="auto" w:fill="auto"/>
              </w:rPr>
            </w:pPr>
            <w:r>
              <w:rPr>
                <w:rFonts w:hint="eastAsia"/>
                <w:color w:val="auto"/>
                <w:szCs w:val="21"/>
                <w:shd w:val="clear" w:color="auto" w:fill="auto"/>
              </w:rPr>
              <w:t>-</w:t>
            </w:r>
            <w:r>
              <w:rPr>
                <w:color w:val="auto"/>
                <w:szCs w:val="21"/>
                <w:shd w:val="clear" w:color="auto" w:fill="auto"/>
              </w:rPr>
              <w:t>54.9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4582" w:type="dxa"/>
            <w:vAlign w:val="center"/>
          </w:tcPr>
          <w:p>
            <w:pPr>
              <w:rPr>
                <w:color w:val="auto"/>
                <w:szCs w:val="21"/>
                <w:shd w:val="clear" w:color="auto" w:fill="auto"/>
              </w:rPr>
            </w:pPr>
            <w:r>
              <w:rPr>
                <w:color w:val="auto"/>
                <w:szCs w:val="21"/>
                <w:shd w:val="clear" w:color="auto" w:fill="auto"/>
              </w:rPr>
              <w:t xml:space="preserve">Mobile </w:t>
            </w:r>
            <w:r>
              <w:rPr>
                <w:rFonts w:hint="eastAsia"/>
                <w:color w:val="auto"/>
                <w:szCs w:val="21"/>
                <w:shd w:val="clear" w:color="auto" w:fill="auto"/>
              </w:rPr>
              <w:t>T</w:t>
            </w:r>
            <w:r>
              <w:rPr>
                <w:color w:val="auto"/>
                <w:szCs w:val="21"/>
                <w:shd w:val="clear" w:color="auto" w:fill="auto"/>
              </w:rPr>
              <w:t>elephone (cell phone)</w:t>
            </w:r>
          </w:p>
        </w:tc>
        <w:tc>
          <w:tcPr>
            <w:tcW w:w="1896" w:type="dxa"/>
            <w:vAlign w:val="center"/>
          </w:tcPr>
          <w:p>
            <w:pPr>
              <w:jc w:val="center"/>
              <w:rPr>
                <w:color w:val="auto"/>
                <w:szCs w:val="21"/>
                <w:shd w:val="clear" w:color="auto" w:fill="auto"/>
              </w:rPr>
            </w:pPr>
            <w:r>
              <w:rPr>
                <w:color w:val="auto"/>
                <w:szCs w:val="21"/>
                <w:shd w:val="clear" w:color="auto" w:fill="auto"/>
              </w:rPr>
              <w:t>10,000 units</w:t>
            </w:r>
          </w:p>
        </w:tc>
        <w:tc>
          <w:tcPr>
            <w:tcW w:w="1188" w:type="dxa"/>
            <w:vAlign w:val="center"/>
          </w:tcPr>
          <w:p>
            <w:pPr>
              <w:ind w:right="210" w:rightChars="100"/>
              <w:jc w:val="right"/>
              <w:rPr>
                <w:color w:val="auto"/>
                <w:szCs w:val="21"/>
                <w:shd w:val="clear" w:color="auto" w:fill="auto"/>
              </w:rPr>
            </w:pPr>
            <w:r>
              <w:rPr>
                <w:color w:val="auto"/>
                <w:szCs w:val="21"/>
                <w:shd w:val="clear" w:color="auto" w:fill="auto"/>
              </w:rPr>
              <w:t>9429.5</w:t>
            </w:r>
          </w:p>
        </w:tc>
        <w:tc>
          <w:tcPr>
            <w:tcW w:w="1376" w:type="dxa"/>
            <w:vAlign w:val="center"/>
          </w:tcPr>
          <w:p>
            <w:pPr>
              <w:ind w:right="210" w:rightChars="100"/>
              <w:jc w:val="right"/>
              <w:rPr>
                <w:color w:val="auto"/>
                <w:szCs w:val="21"/>
                <w:shd w:val="clear" w:color="auto" w:fill="auto"/>
              </w:rPr>
            </w:pPr>
            <w:r>
              <w:rPr>
                <w:color w:val="auto"/>
                <w:szCs w:val="21"/>
                <w:shd w:val="clear" w:color="auto" w:fill="auto"/>
              </w:rPr>
              <w:t>-18.9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4582" w:type="dxa"/>
            <w:vAlign w:val="center"/>
          </w:tcPr>
          <w:p>
            <w:pPr>
              <w:rPr>
                <w:color w:val="auto"/>
                <w:szCs w:val="21"/>
                <w:shd w:val="clear" w:color="auto" w:fill="auto"/>
              </w:rPr>
            </w:pPr>
            <w:r>
              <w:rPr>
                <w:color w:val="auto"/>
                <w:szCs w:val="21"/>
                <w:shd w:val="clear" w:color="auto" w:fill="auto"/>
              </w:rPr>
              <w:t>Integrated Circuit</w:t>
            </w:r>
          </w:p>
        </w:tc>
        <w:tc>
          <w:tcPr>
            <w:tcW w:w="1896" w:type="dxa"/>
            <w:vAlign w:val="center"/>
          </w:tcPr>
          <w:p>
            <w:pPr>
              <w:jc w:val="center"/>
              <w:rPr>
                <w:color w:val="auto"/>
                <w:szCs w:val="21"/>
                <w:shd w:val="clear" w:color="auto" w:fill="auto"/>
              </w:rPr>
            </w:pPr>
            <w:r>
              <w:rPr>
                <w:color w:val="auto"/>
                <w:szCs w:val="21"/>
                <w:shd w:val="clear" w:color="auto" w:fill="auto"/>
              </w:rPr>
              <w:t>100 million units</w:t>
            </w:r>
          </w:p>
        </w:tc>
        <w:tc>
          <w:tcPr>
            <w:tcW w:w="1188" w:type="dxa"/>
            <w:vAlign w:val="center"/>
          </w:tcPr>
          <w:p>
            <w:pPr>
              <w:ind w:right="210" w:rightChars="100"/>
              <w:jc w:val="right"/>
              <w:rPr>
                <w:color w:val="auto"/>
                <w:szCs w:val="21"/>
                <w:shd w:val="clear" w:color="auto" w:fill="auto"/>
              </w:rPr>
            </w:pPr>
            <w:r>
              <w:rPr>
                <w:rFonts w:hint="eastAsia"/>
                <w:color w:val="auto"/>
                <w:szCs w:val="21"/>
                <w:shd w:val="clear" w:color="auto" w:fill="auto"/>
              </w:rPr>
              <w:t>2</w:t>
            </w:r>
            <w:r>
              <w:rPr>
                <w:color w:val="auto"/>
                <w:szCs w:val="21"/>
                <w:shd w:val="clear" w:color="auto" w:fill="auto"/>
              </w:rPr>
              <w:t>17.9</w:t>
            </w:r>
          </w:p>
        </w:tc>
        <w:tc>
          <w:tcPr>
            <w:tcW w:w="1376" w:type="dxa"/>
            <w:vAlign w:val="center"/>
          </w:tcPr>
          <w:p>
            <w:pPr>
              <w:ind w:right="210" w:rightChars="100"/>
              <w:jc w:val="right"/>
              <w:rPr>
                <w:color w:val="auto"/>
                <w:szCs w:val="21"/>
                <w:shd w:val="clear" w:color="auto" w:fill="auto"/>
              </w:rPr>
            </w:pPr>
            <w:r>
              <w:rPr>
                <w:color w:val="auto"/>
                <w:szCs w:val="21"/>
                <w:shd w:val="clear" w:color="auto" w:fill="auto"/>
              </w:rPr>
              <w:t>-5.6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4582" w:type="dxa"/>
            <w:vAlign w:val="center"/>
          </w:tcPr>
          <w:p>
            <w:pPr>
              <w:rPr>
                <w:color w:val="auto"/>
                <w:szCs w:val="21"/>
                <w:shd w:val="clear" w:color="auto" w:fill="auto"/>
              </w:rPr>
            </w:pPr>
            <w:r>
              <w:rPr>
                <w:rFonts w:hint="eastAsia"/>
                <w:color w:val="auto"/>
                <w:szCs w:val="21"/>
                <w:shd w:val="clear" w:color="auto" w:fill="auto"/>
              </w:rPr>
              <w:t>P</w:t>
            </w:r>
            <w:r>
              <w:rPr>
                <w:color w:val="auto"/>
                <w:szCs w:val="21"/>
                <w:shd w:val="clear" w:color="auto" w:fill="auto"/>
              </w:rPr>
              <w:t>hotoelectronic Components</w:t>
            </w:r>
          </w:p>
        </w:tc>
        <w:tc>
          <w:tcPr>
            <w:tcW w:w="1896" w:type="dxa"/>
            <w:vAlign w:val="center"/>
          </w:tcPr>
          <w:p>
            <w:pPr>
              <w:jc w:val="center"/>
              <w:rPr>
                <w:color w:val="auto"/>
                <w:szCs w:val="21"/>
                <w:shd w:val="clear" w:color="auto" w:fill="auto"/>
              </w:rPr>
            </w:pPr>
            <w:r>
              <w:rPr>
                <w:rFonts w:hint="eastAsia"/>
                <w:color w:val="auto"/>
                <w:szCs w:val="21"/>
                <w:shd w:val="clear" w:color="auto" w:fill="auto"/>
              </w:rPr>
              <w:t>1</w:t>
            </w:r>
            <w:r>
              <w:rPr>
                <w:color w:val="auto"/>
                <w:szCs w:val="21"/>
                <w:shd w:val="clear" w:color="auto" w:fill="auto"/>
              </w:rPr>
              <w:t>00 million units</w:t>
            </w:r>
          </w:p>
        </w:tc>
        <w:tc>
          <w:tcPr>
            <w:tcW w:w="1188" w:type="dxa"/>
            <w:vAlign w:val="center"/>
          </w:tcPr>
          <w:p>
            <w:pPr>
              <w:ind w:right="210" w:rightChars="100"/>
              <w:jc w:val="right"/>
              <w:rPr>
                <w:color w:val="auto"/>
                <w:szCs w:val="21"/>
                <w:shd w:val="clear" w:color="auto" w:fill="auto"/>
              </w:rPr>
            </w:pPr>
            <w:r>
              <w:rPr>
                <w:color w:val="auto"/>
                <w:szCs w:val="21"/>
                <w:shd w:val="clear" w:color="auto" w:fill="auto"/>
              </w:rPr>
              <w:t>7.0</w:t>
            </w:r>
          </w:p>
        </w:tc>
        <w:tc>
          <w:tcPr>
            <w:tcW w:w="1376" w:type="dxa"/>
            <w:vAlign w:val="center"/>
          </w:tcPr>
          <w:p>
            <w:pPr>
              <w:ind w:right="210" w:rightChars="100"/>
              <w:jc w:val="right"/>
              <w:rPr>
                <w:color w:val="auto"/>
                <w:szCs w:val="21"/>
                <w:shd w:val="clear" w:color="auto" w:fill="auto"/>
              </w:rPr>
            </w:pPr>
            <w:r>
              <w:rPr>
                <w:color w:val="auto"/>
                <w:szCs w:val="21"/>
                <w:shd w:val="clear" w:color="auto" w:fill="auto"/>
              </w:rPr>
              <w:t>9.1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4582" w:type="dxa"/>
            <w:vAlign w:val="center"/>
          </w:tcPr>
          <w:p>
            <w:pPr>
              <w:rPr>
                <w:color w:val="auto"/>
                <w:szCs w:val="21"/>
                <w:shd w:val="clear" w:color="auto" w:fill="auto"/>
              </w:rPr>
            </w:pPr>
            <w:r>
              <w:rPr>
                <w:rFonts w:hint="eastAsia"/>
                <w:color w:val="auto"/>
                <w:szCs w:val="21"/>
                <w:shd w:val="clear" w:color="auto" w:fill="auto"/>
              </w:rPr>
              <w:t>E</w:t>
            </w:r>
            <w:r>
              <w:rPr>
                <w:color w:val="auto"/>
                <w:szCs w:val="21"/>
                <w:shd w:val="clear" w:color="auto" w:fill="auto"/>
              </w:rPr>
              <w:t>lectronic Components</w:t>
            </w:r>
          </w:p>
        </w:tc>
        <w:tc>
          <w:tcPr>
            <w:tcW w:w="1896" w:type="dxa"/>
            <w:vAlign w:val="center"/>
          </w:tcPr>
          <w:p>
            <w:pPr>
              <w:jc w:val="center"/>
              <w:rPr>
                <w:color w:val="auto"/>
                <w:szCs w:val="21"/>
                <w:shd w:val="clear" w:color="auto" w:fill="auto"/>
              </w:rPr>
            </w:pPr>
            <w:r>
              <w:rPr>
                <w:rFonts w:hint="eastAsia"/>
                <w:color w:val="auto"/>
                <w:szCs w:val="21"/>
                <w:shd w:val="clear" w:color="auto" w:fill="auto"/>
              </w:rPr>
              <w:t>1</w:t>
            </w:r>
            <w:r>
              <w:rPr>
                <w:color w:val="auto"/>
                <w:szCs w:val="21"/>
                <w:shd w:val="clear" w:color="auto" w:fill="auto"/>
              </w:rPr>
              <w:t>00 million units</w:t>
            </w:r>
          </w:p>
        </w:tc>
        <w:tc>
          <w:tcPr>
            <w:tcW w:w="1188" w:type="dxa"/>
            <w:vAlign w:val="center"/>
          </w:tcPr>
          <w:p>
            <w:pPr>
              <w:ind w:right="210" w:rightChars="100"/>
              <w:jc w:val="right"/>
              <w:rPr>
                <w:color w:val="auto"/>
                <w:szCs w:val="21"/>
                <w:shd w:val="clear" w:color="auto" w:fill="auto"/>
              </w:rPr>
            </w:pPr>
            <w:r>
              <w:rPr>
                <w:color w:val="auto"/>
                <w:szCs w:val="21"/>
                <w:shd w:val="clear" w:color="auto" w:fill="auto"/>
              </w:rPr>
              <w:t>24.7</w:t>
            </w:r>
          </w:p>
        </w:tc>
        <w:tc>
          <w:tcPr>
            <w:tcW w:w="1376" w:type="dxa"/>
            <w:vAlign w:val="center"/>
          </w:tcPr>
          <w:p>
            <w:pPr>
              <w:ind w:right="210" w:rightChars="100"/>
              <w:jc w:val="right"/>
              <w:rPr>
                <w:color w:val="auto"/>
                <w:szCs w:val="21"/>
                <w:shd w:val="clear" w:color="auto" w:fill="auto"/>
              </w:rPr>
            </w:pPr>
            <w:r>
              <w:rPr>
                <w:color w:val="auto"/>
                <w:szCs w:val="21"/>
                <w:shd w:val="clear" w:color="auto" w:fill="auto"/>
              </w:rPr>
              <w:t>-76.7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4582" w:type="dxa"/>
            <w:vAlign w:val="center"/>
          </w:tcPr>
          <w:p>
            <w:pPr>
              <w:rPr>
                <w:color w:val="auto"/>
                <w:szCs w:val="21"/>
                <w:shd w:val="clear" w:color="auto" w:fill="auto"/>
              </w:rPr>
            </w:pPr>
            <w:r>
              <w:rPr>
                <w:color w:val="auto"/>
                <w:szCs w:val="21"/>
                <w:shd w:val="clear" w:color="auto" w:fill="auto"/>
              </w:rPr>
              <w:t>LCD Module</w:t>
            </w:r>
          </w:p>
        </w:tc>
        <w:tc>
          <w:tcPr>
            <w:tcW w:w="1896" w:type="dxa"/>
            <w:vAlign w:val="center"/>
          </w:tcPr>
          <w:p>
            <w:pPr>
              <w:jc w:val="center"/>
              <w:rPr>
                <w:color w:val="auto"/>
                <w:szCs w:val="21"/>
                <w:shd w:val="clear" w:color="auto" w:fill="auto"/>
              </w:rPr>
            </w:pPr>
            <w:r>
              <w:rPr>
                <w:color w:val="auto"/>
                <w:szCs w:val="21"/>
                <w:shd w:val="clear" w:color="auto" w:fill="auto"/>
              </w:rPr>
              <w:t>10,000 sets</w:t>
            </w:r>
          </w:p>
        </w:tc>
        <w:tc>
          <w:tcPr>
            <w:tcW w:w="1188" w:type="dxa"/>
            <w:vAlign w:val="center"/>
          </w:tcPr>
          <w:p>
            <w:pPr>
              <w:ind w:right="210" w:rightChars="100"/>
              <w:jc w:val="right"/>
              <w:rPr>
                <w:color w:val="auto"/>
                <w:szCs w:val="21"/>
                <w:shd w:val="clear" w:color="auto" w:fill="auto"/>
              </w:rPr>
            </w:pPr>
            <w:r>
              <w:rPr>
                <w:color w:val="auto"/>
                <w:szCs w:val="21"/>
                <w:shd w:val="clear" w:color="auto" w:fill="auto"/>
              </w:rPr>
              <w:t>14680.2</w:t>
            </w:r>
          </w:p>
        </w:tc>
        <w:tc>
          <w:tcPr>
            <w:tcW w:w="1376" w:type="dxa"/>
            <w:vAlign w:val="center"/>
          </w:tcPr>
          <w:p>
            <w:pPr>
              <w:ind w:right="210" w:rightChars="100"/>
              <w:jc w:val="right"/>
              <w:rPr>
                <w:color w:val="auto"/>
                <w:szCs w:val="21"/>
                <w:shd w:val="clear" w:color="auto" w:fill="auto"/>
              </w:rPr>
            </w:pPr>
            <w:r>
              <w:rPr>
                <w:color w:val="auto"/>
                <w:szCs w:val="21"/>
                <w:shd w:val="clear" w:color="auto" w:fill="auto"/>
              </w:rPr>
              <w:t>22.0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4582" w:type="dxa"/>
            <w:vAlign w:val="center"/>
          </w:tcPr>
          <w:p>
            <w:pPr>
              <w:ind w:left="105" w:hanging="105" w:hangingChars="50"/>
              <w:rPr>
                <w:color w:val="auto"/>
                <w:szCs w:val="21"/>
                <w:shd w:val="clear" w:color="auto" w:fill="auto"/>
              </w:rPr>
            </w:pPr>
            <w:r>
              <w:rPr>
                <w:rFonts w:hint="eastAsia"/>
                <w:color w:val="auto"/>
                <w:szCs w:val="21"/>
                <w:shd w:val="clear" w:color="auto" w:fill="auto"/>
              </w:rPr>
              <w:t>I</w:t>
            </w:r>
            <w:r>
              <w:rPr>
                <w:color w:val="auto"/>
                <w:szCs w:val="21"/>
                <w:shd w:val="clear" w:color="auto" w:fill="auto"/>
              </w:rPr>
              <w:t>ndustrial Automatic Regulating Instrument and Control System</w:t>
            </w:r>
          </w:p>
        </w:tc>
        <w:tc>
          <w:tcPr>
            <w:tcW w:w="1896" w:type="dxa"/>
            <w:vAlign w:val="center"/>
          </w:tcPr>
          <w:p>
            <w:pPr>
              <w:jc w:val="center"/>
              <w:rPr>
                <w:color w:val="auto"/>
                <w:szCs w:val="21"/>
                <w:shd w:val="clear" w:color="auto" w:fill="auto"/>
              </w:rPr>
            </w:pPr>
            <w:r>
              <w:rPr>
                <w:rFonts w:hint="eastAsia"/>
                <w:color w:val="auto"/>
                <w:szCs w:val="21"/>
                <w:shd w:val="clear" w:color="auto" w:fill="auto"/>
              </w:rPr>
              <w:t>U</w:t>
            </w:r>
            <w:r>
              <w:rPr>
                <w:color w:val="auto"/>
                <w:szCs w:val="21"/>
                <w:shd w:val="clear" w:color="auto" w:fill="auto"/>
              </w:rPr>
              <w:t>nit (Set)</w:t>
            </w:r>
          </w:p>
        </w:tc>
        <w:tc>
          <w:tcPr>
            <w:tcW w:w="1188" w:type="dxa"/>
            <w:vAlign w:val="center"/>
          </w:tcPr>
          <w:p>
            <w:pPr>
              <w:ind w:right="210" w:rightChars="100"/>
              <w:jc w:val="right"/>
              <w:rPr>
                <w:color w:val="auto"/>
                <w:szCs w:val="21"/>
                <w:shd w:val="clear" w:color="auto" w:fill="auto"/>
              </w:rPr>
            </w:pPr>
            <w:r>
              <w:rPr>
                <w:color w:val="auto"/>
                <w:szCs w:val="21"/>
                <w:shd w:val="clear" w:color="auto" w:fill="auto"/>
              </w:rPr>
              <w:t>731508</w:t>
            </w:r>
          </w:p>
        </w:tc>
        <w:tc>
          <w:tcPr>
            <w:tcW w:w="1376" w:type="dxa"/>
            <w:vAlign w:val="center"/>
          </w:tcPr>
          <w:p>
            <w:pPr>
              <w:ind w:right="210" w:rightChars="100"/>
              <w:jc w:val="right"/>
              <w:rPr>
                <w:color w:val="auto"/>
                <w:szCs w:val="21"/>
                <w:shd w:val="clear" w:color="auto" w:fill="auto"/>
              </w:rPr>
            </w:pPr>
            <w:r>
              <w:rPr>
                <w:color w:val="auto"/>
                <w:szCs w:val="21"/>
                <w:shd w:val="clear" w:color="auto" w:fill="auto"/>
              </w:rPr>
              <w:t>-9.2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4582" w:type="dxa"/>
            <w:vAlign w:val="center"/>
          </w:tcPr>
          <w:p>
            <w:pPr>
              <w:rPr>
                <w:color w:val="auto"/>
                <w:szCs w:val="21"/>
                <w:shd w:val="clear" w:color="auto" w:fill="auto"/>
              </w:rPr>
            </w:pPr>
            <w:r>
              <w:rPr>
                <w:rFonts w:hint="eastAsia"/>
                <w:color w:val="auto"/>
                <w:szCs w:val="21"/>
                <w:shd w:val="clear" w:color="auto" w:fill="auto"/>
              </w:rPr>
              <w:t>A</w:t>
            </w:r>
            <w:r>
              <w:rPr>
                <w:color w:val="auto"/>
                <w:szCs w:val="21"/>
                <w:shd w:val="clear" w:color="auto" w:fill="auto"/>
              </w:rPr>
              <w:t>nalytical Instrument and Device</w:t>
            </w:r>
          </w:p>
        </w:tc>
        <w:tc>
          <w:tcPr>
            <w:tcW w:w="1896" w:type="dxa"/>
            <w:vAlign w:val="center"/>
          </w:tcPr>
          <w:p>
            <w:pPr>
              <w:jc w:val="center"/>
              <w:rPr>
                <w:color w:val="auto"/>
                <w:szCs w:val="21"/>
                <w:shd w:val="clear" w:color="auto" w:fill="auto"/>
              </w:rPr>
            </w:pPr>
            <w:r>
              <w:rPr>
                <w:rFonts w:hint="eastAsia"/>
                <w:color w:val="auto"/>
                <w:szCs w:val="21"/>
                <w:shd w:val="clear" w:color="auto" w:fill="auto"/>
              </w:rPr>
              <w:t>U</w:t>
            </w:r>
            <w:r>
              <w:rPr>
                <w:color w:val="auto"/>
                <w:szCs w:val="21"/>
                <w:shd w:val="clear" w:color="auto" w:fill="auto"/>
              </w:rPr>
              <w:t>nit (Set)</w:t>
            </w:r>
          </w:p>
        </w:tc>
        <w:tc>
          <w:tcPr>
            <w:tcW w:w="1188" w:type="dxa"/>
            <w:vAlign w:val="center"/>
          </w:tcPr>
          <w:p>
            <w:pPr>
              <w:ind w:right="210" w:rightChars="100"/>
              <w:jc w:val="right"/>
              <w:rPr>
                <w:color w:val="auto"/>
                <w:szCs w:val="21"/>
                <w:shd w:val="clear" w:color="auto" w:fill="auto"/>
              </w:rPr>
            </w:pPr>
            <w:r>
              <w:rPr>
                <w:rFonts w:hint="eastAsia"/>
                <w:color w:val="auto"/>
                <w:szCs w:val="21"/>
                <w:shd w:val="clear" w:color="auto" w:fill="auto"/>
              </w:rPr>
              <w:t>1568466</w:t>
            </w:r>
          </w:p>
        </w:tc>
        <w:tc>
          <w:tcPr>
            <w:tcW w:w="1376" w:type="dxa"/>
            <w:vAlign w:val="center"/>
          </w:tcPr>
          <w:p>
            <w:pPr>
              <w:ind w:right="210" w:rightChars="100"/>
              <w:jc w:val="right"/>
              <w:rPr>
                <w:color w:val="auto"/>
                <w:szCs w:val="21"/>
                <w:shd w:val="clear" w:color="auto" w:fill="auto"/>
              </w:rPr>
            </w:pPr>
            <w:r>
              <w:rPr>
                <w:rFonts w:hint="eastAsia"/>
                <w:color w:val="auto"/>
                <w:szCs w:val="21"/>
                <w:shd w:val="clear" w:color="auto" w:fill="auto"/>
              </w:rPr>
              <w:t>6.9</w:t>
            </w:r>
          </w:p>
        </w:tc>
      </w:tr>
    </w:tbl>
    <w:p>
      <w:pPr>
        <w:rPr>
          <w:b/>
          <w:sz w:val="28"/>
          <w:szCs w:val="28"/>
        </w:rPr>
      </w:pPr>
      <w:r>
        <w:rPr>
          <w:b/>
          <w:sz w:val="28"/>
          <w:szCs w:val="28"/>
        </w:rPr>
        <w:t>Construction:</w:t>
      </w:r>
      <w:r>
        <w:rPr>
          <w:sz w:val="28"/>
          <w:szCs w:val="28"/>
        </w:rPr>
        <w:t xml:space="preserve"> The gross output value made by construction enterprises qualified for general contracts and specialized contracts registered RMB </w:t>
      </w:r>
      <w:r>
        <w:rPr>
          <w:rFonts w:hint="eastAsia"/>
          <w:sz w:val="28"/>
          <w:szCs w:val="28"/>
        </w:rPr>
        <w:t>1,</w:t>
      </w:r>
      <w:r>
        <w:rPr>
          <w:sz w:val="28"/>
          <w:szCs w:val="28"/>
        </w:rPr>
        <w:t xml:space="preserve">386.61 billion </w:t>
      </w:r>
      <w:r>
        <w:rPr>
          <w:rFonts w:hint="eastAsia"/>
          <w:sz w:val="28"/>
          <w:szCs w:val="28"/>
        </w:rPr>
        <w:t>in</w:t>
      </w:r>
      <w:r>
        <w:rPr>
          <w:sz w:val="28"/>
          <w:szCs w:val="28"/>
        </w:rPr>
        <w:t xml:space="preserve"> 2022, down by 0.9% over the previous year. Of which, RMB 379.07 billion was achieved in Beijing, up by 4.8%; RMB 1,007.54 billion was gained in other provinces, down by 2.8%. The newly-signed contracts in 2022 valued RMB 2,038.12 billion, up by 1.9%.</w:t>
      </w:r>
    </w:p>
    <w:p>
      <w:pPr>
        <w:outlineLvl w:val="0"/>
        <w:rPr>
          <w:rFonts w:eastAsia="黑体"/>
          <w:b/>
          <w:sz w:val="28"/>
          <w:szCs w:val="28"/>
        </w:rPr>
      </w:pPr>
      <w:r>
        <w:rPr>
          <w:b/>
          <w:sz w:val="28"/>
          <w:szCs w:val="28"/>
        </w:rPr>
        <w:t>IV. Transportation, Post and Telecommunications</w:t>
      </w:r>
    </w:p>
    <w:p>
      <w:pPr>
        <w:ind w:right="57"/>
        <w:rPr>
          <w:sz w:val="28"/>
          <w:szCs w:val="28"/>
        </w:rPr>
      </w:pPr>
      <w:r>
        <w:rPr>
          <w:b/>
          <w:sz w:val="28"/>
          <w:szCs w:val="28"/>
        </w:rPr>
        <w:t>Transportation:</w:t>
      </w:r>
      <w:r>
        <w:rPr>
          <w:sz w:val="28"/>
          <w:szCs w:val="28"/>
        </w:rPr>
        <w:t xml:space="preserve"> In 2022, the total volume of freight traffic reached 240.374 million tons, down by 14.5% over the previous year; freight turnover reached 88</w:t>
      </w:r>
      <w:r>
        <w:rPr>
          <w:rFonts w:hint="eastAsia"/>
          <w:sz w:val="28"/>
          <w:szCs w:val="28"/>
        </w:rPr>
        <w:t>.</w:t>
      </w:r>
      <w:r>
        <w:rPr>
          <w:sz w:val="28"/>
          <w:szCs w:val="28"/>
        </w:rPr>
        <w:t>15 billion ton-km, up by 0.1%. Total passenger traffic hit 280.577 million persons, down by 33.7%; turnover of passenger traffic reached 58.05 billion passenger-km, down by 44.6%.</w:t>
      </w:r>
    </w:p>
    <w:p>
      <w:pPr>
        <w:ind w:right="57"/>
        <w:jc w:val="center"/>
        <w:rPr>
          <w:b/>
          <w:kern w:val="0"/>
          <w:sz w:val="24"/>
        </w:rPr>
      </w:pPr>
      <w:r>
        <w:rPr>
          <w:b/>
          <w:sz w:val="24"/>
        </w:rPr>
        <w:t>Table 7: Volume of Freight Traffic and Freight Turnover Done by All Means of Transportation in 2022</w:t>
      </w:r>
    </w:p>
    <w:tbl>
      <w:tblPr>
        <w:tblStyle w:val="14"/>
        <w:tblW w:w="8804" w:type="dxa"/>
        <w:tblInd w:w="93"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657"/>
        <w:gridCol w:w="2250"/>
        <w:gridCol w:w="1521"/>
        <w:gridCol w:w="137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657" w:type="dxa"/>
            <w:vAlign w:val="center"/>
          </w:tcPr>
          <w:p>
            <w:pPr>
              <w:widowControl/>
              <w:jc w:val="center"/>
              <w:rPr>
                <w:kern w:val="0"/>
                <w:szCs w:val="21"/>
              </w:rPr>
            </w:pPr>
            <w:r>
              <w:rPr>
                <w:kern w:val="0"/>
                <w:szCs w:val="21"/>
              </w:rPr>
              <w:t>Indicators</w:t>
            </w:r>
          </w:p>
        </w:tc>
        <w:tc>
          <w:tcPr>
            <w:tcW w:w="2250" w:type="dxa"/>
            <w:vAlign w:val="center"/>
          </w:tcPr>
          <w:p>
            <w:pPr>
              <w:widowControl/>
              <w:jc w:val="center"/>
              <w:rPr>
                <w:kern w:val="0"/>
                <w:szCs w:val="21"/>
              </w:rPr>
            </w:pPr>
            <w:r>
              <w:rPr>
                <w:kern w:val="0"/>
                <w:szCs w:val="21"/>
              </w:rPr>
              <w:t>Unit</w:t>
            </w:r>
          </w:p>
        </w:tc>
        <w:tc>
          <w:tcPr>
            <w:tcW w:w="1521" w:type="dxa"/>
            <w:vAlign w:val="center"/>
          </w:tcPr>
          <w:p>
            <w:pPr>
              <w:widowControl/>
              <w:jc w:val="center"/>
              <w:rPr>
                <w:kern w:val="0"/>
                <w:szCs w:val="21"/>
              </w:rPr>
            </w:pPr>
            <w:r>
              <w:rPr>
                <w:kern w:val="0"/>
                <w:szCs w:val="21"/>
              </w:rPr>
              <w:t>Absolute volume</w:t>
            </w:r>
          </w:p>
        </w:tc>
        <w:tc>
          <w:tcPr>
            <w:tcW w:w="1376" w:type="dxa"/>
            <w:vAlign w:val="center"/>
          </w:tcPr>
          <w:p>
            <w:pPr>
              <w:widowControl/>
              <w:jc w:val="center"/>
              <w:rPr>
                <w:kern w:val="0"/>
                <w:szCs w:val="21"/>
              </w:rPr>
            </w:pPr>
            <w:r>
              <w:rPr>
                <w:kern w:val="0"/>
                <w:szCs w:val="21"/>
              </w:rPr>
              <w:t>Increase over the previous year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3657" w:type="dxa"/>
            <w:vAlign w:val="center"/>
          </w:tcPr>
          <w:p>
            <w:pPr>
              <w:widowControl/>
              <w:rPr>
                <w:kern w:val="0"/>
                <w:szCs w:val="21"/>
              </w:rPr>
            </w:pPr>
            <w:r>
              <w:rPr>
                <w:kern w:val="0"/>
                <w:szCs w:val="21"/>
              </w:rPr>
              <w:t xml:space="preserve">Total </w:t>
            </w:r>
            <w:r>
              <w:rPr>
                <w:rFonts w:hint="eastAsia"/>
                <w:kern w:val="0"/>
                <w:szCs w:val="21"/>
              </w:rPr>
              <w:t>F</w:t>
            </w:r>
            <w:r>
              <w:rPr>
                <w:kern w:val="0"/>
                <w:szCs w:val="21"/>
              </w:rPr>
              <w:t xml:space="preserve">reight </w:t>
            </w:r>
            <w:r>
              <w:rPr>
                <w:rFonts w:hint="eastAsia"/>
                <w:kern w:val="0"/>
                <w:szCs w:val="21"/>
              </w:rPr>
              <w:t>T</w:t>
            </w:r>
            <w:r>
              <w:rPr>
                <w:kern w:val="0"/>
                <w:szCs w:val="21"/>
              </w:rPr>
              <w:t>raffic</w:t>
            </w:r>
          </w:p>
        </w:tc>
        <w:tc>
          <w:tcPr>
            <w:tcW w:w="2250" w:type="dxa"/>
            <w:vAlign w:val="center"/>
          </w:tcPr>
          <w:p>
            <w:pPr>
              <w:widowControl/>
              <w:jc w:val="center"/>
              <w:rPr>
                <w:kern w:val="0"/>
                <w:szCs w:val="21"/>
              </w:rPr>
            </w:pPr>
            <w:r>
              <w:rPr>
                <w:kern w:val="0"/>
                <w:szCs w:val="21"/>
              </w:rPr>
              <w:t>10,000 tons</w:t>
            </w:r>
          </w:p>
        </w:tc>
        <w:tc>
          <w:tcPr>
            <w:tcW w:w="1521" w:type="dxa"/>
            <w:vAlign w:val="bottom"/>
          </w:tcPr>
          <w:p>
            <w:pPr>
              <w:ind w:right="210" w:rightChars="100"/>
              <w:jc w:val="right"/>
              <w:rPr>
                <w:szCs w:val="21"/>
              </w:rPr>
            </w:pPr>
            <w:r>
              <w:rPr>
                <w:szCs w:val="21"/>
              </w:rPr>
              <w:t>24037.4</w:t>
            </w:r>
          </w:p>
        </w:tc>
        <w:tc>
          <w:tcPr>
            <w:tcW w:w="1376" w:type="dxa"/>
            <w:vAlign w:val="bottom"/>
          </w:tcPr>
          <w:p>
            <w:pPr>
              <w:ind w:right="210" w:rightChars="100"/>
              <w:jc w:val="right"/>
              <w:rPr>
                <w:bCs/>
                <w:szCs w:val="21"/>
              </w:rPr>
            </w:pPr>
            <w:r>
              <w:rPr>
                <w:bCs/>
                <w:szCs w:val="21"/>
              </w:rPr>
              <w:t>-14.5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657" w:type="dxa"/>
            <w:vAlign w:val="center"/>
          </w:tcPr>
          <w:p>
            <w:pPr>
              <w:widowControl/>
              <w:ind w:firstLine="189" w:firstLineChars="90"/>
              <w:rPr>
                <w:kern w:val="0"/>
                <w:szCs w:val="21"/>
              </w:rPr>
            </w:pPr>
            <w:r>
              <w:rPr>
                <w:kern w:val="0"/>
                <w:szCs w:val="21"/>
              </w:rPr>
              <w:t>Railways (dispatched number)</w:t>
            </w:r>
          </w:p>
        </w:tc>
        <w:tc>
          <w:tcPr>
            <w:tcW w:w="2250" w:type="dxa"/>
            <w:vAlign w:val="center"/>
          </w:tcPr>
          <w:p>
            <w:pPr>
              <w:widowControl/>
              <w:jc w:val="center"/>
              <w:rPr>
                <w:kern w:val="0"/>
                <w:szCs w:val="21"/>
              </w:rPr>
            </w:pPr>
            <w:r>
              <w:rPr>
                <w:kern w:val="0"/>
                <w:szCs w:val="21"/>
              </w:rPr>
              <w:t>10,000 tons</w:t>
            </w:r>
          </w:p>
        </w:tc>
        <w:tc>
          <w:tcPr>
            <w:tcW w:w="1521" w:type="dxa"/>
            <w:vAlign w:val="center"/>
          </w:tcPr>
          <w:p>
            <w:pPr>
              <w:ind w:right="210" w:rightChars="100"/>
              <w:jc w:val="right"/>
              <w:rPr>
                <w:szCs w:val="21"/>
              </w:rPr>
            </w:pPr>
            <w:r>
              <w:rPr>
                <w:rFonts w:hint="eastAsia"/>
                <w:szCs w:val="21"/>
              </w:rPr>
              <w:t>3</w:t>
            </w:r>
            <w:r>
              <w:rPr>
                <w:szCs w:val="21"/>
              </w:rPr>
              <w:t>51.5</w:t>
            </w:r>
          </w:p>
        </w:tc>
        <w:tc>
          <w:tcPr>
            <w:tcW w:w="1376" w:type="dxa"/>
            <w:vAlign w:val="center"/>
          </w:tcPr>
          <w:p>
            <w:pPr>
              <w:ind w:right="210" w:rightChars="100"/>
              <w:jc w:val="right"/>
              <w:rPr>
                <w:szCs w:val="21"/>
              </w:rPr>
            </w:pPr>
            <w:r>
              <w:rPr>
                <w:szCs w:val="21"/>
              </w:rPr>
              <w:t>11.4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657" w:type="dxa"/>
            <w:vAlign w:val="center"/>
          </w:tcPr>
          <w:p>
            <w:pPr>
              <w:widowControl/>
              <w:ind w:firstLine="189" w:firstLineChars="90"/>
              <w:rPr>
                <w:kern w:val="0"/>
                <w:szCs w:val="21"/>
              </w:rPr>
            </w:pPr>
            <w:r>
              <w:rPr>
                <w:kern w:val="0"/>
                <w:szCs w:val="21"/>
              </w:rPr>
              <w:t>Highways</w:t>
            </w:r>
          </w:p>
        </w:tc>
        <w:tc>
          <w:tcPr>
            <w:tcW w:w="2250" w:type="dxa"/>
            <w:vAlign w:val="center"/>
          </w:tcPr>
          <w:p>
            <w:pPr>
              <w:widowControl/>
              <w:jc w:val="center"/>
              <w:rPr>
                <w:kern w:val="0"/>
                <w:szCs w:val="21"/>
              </w:rPr>
            </w:pPr>
            <w:r>
              <w:rPr>
                <w:kern w:val="0"/>
                <w:szCs w:val="21"/>
              </w:rPr>
              <w:t>10,000 tons</w:t>
            </w:r>
          </w:p>
        </w:tc>
        <w:tc>
          <w:tcPr>
            <w:tcW w:w="1521" w:type="dxa"/>
            <w:vAlign w:val="bottom"/>
          </w:tcPr>
          <w:p>
            <w:pPr>
              <w:ind w:right="210" w:rightChars="100"/>
              <w:jc w:val="right"/>
              <w:rPr>
                <w:szCs w:val="21"/>
              </w:rPr>
            </w:pPr>
            <w:r>
              <w:rPr>
                <w:szCs w:val="21"/>
              </w:rPr>
              <w:t>18549.3</w:t>
            </w:r>
          </w:p>
        </w:tc>
        <w:tc>
          <w:tcPr>
            <w:tcW w:w="1376" w:type="dxa"/>
            <w:vAlign w:val="bottom"/>
          </w:tcPr>
          <w:p>
            <w:pPr>
              <w:ind w:right="210" w:rightChars="100"/>
              <w:jc w:val="right"/>
              <w:rPr>
                <w:szCs w:val="21"/>
              </w:rPr>
            </w:pPr>
            <w:r>
              <w:rPr>
                <w:szCs w:val="21"/>
              </w:rPr>
              <w:t>-19.6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657" w:type="dxa"/>
            <w:vAlign w:val="center"/>
          </w:tcPr>
          <w:p>
            <w:pPr>
              <w:widowControl/>
              <w:ind w:firstLine="189" w:firstLineChars="90"/>
              <w:rPr>
                <w:kern w:val="0"/>
                <w:szCs w:val="21"/>
              </w:rPr>
            </w:pPr>
            <w:r>
              <w:rPr>
                <w:kern w:val="0"/>
                <w:szCs w:val="21"/>
              </w:rPr>
              <w:t xml:space="preserve">Civil </w:t>
            </w:r>
            <w:r>
              <w:rPr>
                <w:rFonts w:hint="eastAsia"/>
                <w:kern w:val="0"/>
                <w:szCs w:val="21"/>
              </w:rPr>
              <w:t>A</w:t>
            </w:r>
            <w:r>
              <w:rPr>
                <w:kern w:val="0"/>
                <w:szCs w:val="21"/>
              </w:rPr>
              <w:t>viation</w:t>
            </w:r>
          </w:p>
        </w:tc>
        <w:tc>
          <w:tcPr>
            <w:tcW w:w="2250" w:type="dxa"/>
            <w:vAlign w:val="center"/>
          </w:tcPr>
          <w:p>
            <w:pPr>
              <w:widowControl/>
              <w:jc w:val="center"/>
              <w:rPr>
                <w:kern w:val="0"/>
                <w:szCs w:val="21"/>
              </w:rPr>
            </w:pPr>
            <w:r>
              <w:rPr>
                <w:kern w:val="0"/>
                <w:szCs w:val="21"/>
              </w:rPr>
              <w:t>10,000 tons</w:t>
            </w:r>
          </w:p>
        </w:tc>
        <w:tc>
          <w:tcPr>
            <w:tcW w:w="1521" w:type="dxa"/>
            <w:vAlign w:val="bottom"/>
          </w:tcPr>
          <w:p>
            <w:pPr>
              <w:ind w:right="210" w:rightChars="100"/>
              <w:jc w:val="right"/>
              <w:rPr>
                <w:szCs w:val="21"/>
              </w:rPr>
            </w:pPr>
            <w:r>
              <w:rPr>
                <w:rFonts w:hint="eastAsia"/>
                <w:szCs w:val="21"/>
              </w:rPr>
              <w:t>1</w:t>
            </w:r>
            <w:r>
              <w:rPr>
                <w:szCs w:val="21"/>
              </w:rPr>
              <w:t>29.0</w:t>
            </w:r>
          </w:p>
        </w:tc>
        <w:tc>
          <w:tcPr>
            <w:tcW w:w="1376" w:type="dxa"/>
            <w:vAlign w:val="bottom"/>
          </w:tcPr>
          <w:p>
            <w:pPr>
              <w:ind w:right="210" w:rightChars="100"/>
              <w:jc w:val="right"/>
              <w:rPr>
                <w:szCs w:val="21"/>
              </w:rPr>
            </w:pPr>
            <w:r>
              <w:rPr>
                <w:szCs w:val="21"/>
              </w:rPr>
              <w:t>-20.2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657" w:type="dxa"/>
            <w:vAlign w:val="center"/>
          </w:tcPr>
          <w:p>
            <w:pPr>
              <w:widowControl/>
              <w:ind w:firstLine="189" w:firstLineChars="90"/>
              <w:rPr>
                <w:kern w:val="0"/>
                <w:szCs w:val="21"/>
              </w:rPr>
            </w:pPr>
            <w:r>
              <w:rPr>
                <w:kern w:val="0"/>
                <w:szCs w:val="21"/>
              </w:rPr>
              <w:t>Pipelines</w:t>
            </w:r>
          </w:p>
        </w:tc>
        <w:tc>
          <w:tcPr>
            <w:tcW w:w="2250" w:type="dxa"/>
            <w:vAlign w:val="center"/>
          </w:tcPr>
          <w:p>
            <w:pPr>
              <w:widowControl/>
              <w:jc w:val="center"/>
              <w:rPr>
                <w:kern w:val="0"/>
                <w:szCs w:val="21"/>
              </w:rPr>
            </w:pPr>
            <w:r>
              <w:rPr>
                <w:kern w:val="0"/>
                <w:szCs w:val="21"/>
              </w:rPr>
              <w:t>10,000 tons</w:t>
            </w:r>
          </w:p>
        </w:tc>
        <w:tc>
          <w:tcPr>
            <w:tcW w:w="1521" w:type="dxa"/>
            <w:vAlign w:val="bottom"/>
          </w:tcPr>
          <w:p>
            <w:pPr>
              <w:ind w:right="210" w:rightChars="100"/>
              <w:jc w:val="right"/>
              <w:rPr>
                <w:szCs w:val="21"/>
              </w:rPr>
            </w:pPr>
            <w:r>
              <w:rPr>
                <w:szCs w:val="21"/>
              </w:rPr>
              <w:t>5007.6</w:t>
            </w:r>
          </w:p>
        </w:tc>
        <w:tc>
          <w:tcPr>
            <w:tcW w:w="1376" w:type="dxa"/>
            <w:vAlign w:val="bottom"/>
          </w:tcPr>
          <w:p>
            <w:pPr>
              <w:ind w:right="210" w:rightChars="100"/>
              <w:jc w:val="right"/>
              <w:rPr>
                <w:szCs w:val="21"/>
              </w:rPr>
            </w:pPr>
            <w:r>
              <w:rPr>
                <w:szCs w:val="21"/>
              </w:rPr>
              <w:t>9.3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3657" w:type="dxa"/>
            <w:vAlign w:val="center"/>
          </w:tcPr>
          <w:p>
            <w:pPr>
              <w:widowControl/>
              <w:rPr>
                <w:kern w:val="0"/>
                <w:szCs w:val="21"/>
              </w:rPr>
            </w:pPr>
            <w:bookmarkStart w:id="9" w:name="OLE_LINK27"/>
            <w:bookmarkStart w:id="10" w:name="OLE_LINK26"/>
            <w:r>
              <w:rPr>
                <w:kern w:val="0"/>
                <w:szCs w:val="21"/>
              </w:rPr>
              <w:t xml:space="preserve">Freight </w:t>
            </w:r>
            <w:bookmarkEnd w:id="9"/>
            <w:bookmarkEnd w:id="10"/>
            <w:r>
              <w:rPr>
                <w:kern w:val="0"/>
                <w:szCs w:val="21"/>
              </w:rPr>
              <w:t>Turnover</w:t>
            </w:r>
          </w:p>
        </w:tc>
        <w:tc>
          <w:tcPr>
            <w:tcW w:w="2250" w:type="dxa"/>
            <w:vAlign w:val="center"/>
          </w:tcPr>
          <w:p>
            <w:pPr>
              <w:widowControl/>
              <w:jc w:val="center"/>
              <w:rPr>
                <w:kern w:val="0"/>
                <w:szCs w:val="21"/>
              </w:rPr>
            </w:pPr>
            <w:r>
              <w:rPr>
                <w:kern w:val="0"/>
                <w:szCs w:val="21"/>
              </w:rPr>
              <w:t>100 million ton-km</w:t>
            </w:r>
          </w:p>
        </w:tc>
        <w:tc>
          <w:tcPr>
            <w:tcW w:w="1521" w:type="dxa"/>
            <w:vAlign w:val="bottom"/>
          </w:tcPr>
          <w:p>
            <w:pPr>
              <w:ind w:right="210" w:rightChars="100"/>
              <w:jc w:val="right"/>
              <w:rPr>
                <w:szCs w:val="21"/>
              </w:rPr>
            </w:pPr>
            <w:r>
              <w:rPr>
                <w:rFonts w:hint="eastAsia"/>
                <w:szCs w:val="21"/>
              </w:rPr>
              <w:t>8</w:t>
            </w:r>
            <w:r>
              <w:rPr>
                <w:szCs w:val="21"/>
              </w:rPr>
              <w:t>81.5</w:t>
            </w:r>
          </w:p>
        </w:tc>
        <w:tc>
          <w:tcPr>
            <w:tcW w:w="1376" w:type="dxa"/>
            <w:vAlign w:val="bottom"/>
          </w:tcPr>
          <w:p>
            <w:pPr>
              <w:ind w:right="210" w:rightChars="100"/>
              <w:jc w:val="right"/>
              <w:rPr>
                <w:bCs/>
                <w:szCs w:val="21"/>
              </w:rPr>
            </w:pPr>
            <w:r>
              <w:rPr>
                <w:bCs/>
                <w:szCs w:val="21"/>
              </w:rPr>
              <w:t>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657" w:type="dxa"/>
            <w:vAlign w:val="center"/>
          </w:tcPr>
          <w:p>
            <w:pPr>
              <w:widowControl/>
              <w:ind w:firstLine="189" w:firstLineChars="90"/>
              <w:rPr>
                <w:kern w:val="0"/>
                <w:szCs w:val="21"/>
              </w:rPr>
            </w:pPr>
            <w:r>
              <w:rPr>
                <w:kern w:val="0"/>
                <w:szCs w:val="21"/>
              </w:rPr>
              <w:t>Railways</w:t>
            </w:r>
          </w:p>
        </w:tc>
        <w:tc>
          <w:tcPr>
            <w:tcW w:w="2250" w:type="dxa"/>
            <w:vAlign w:val="center"/>
          </w:tcPr>
          <w:p>
            <w:pPr>
              <w:widowControl/>
              <w:jc w:val="center"/>
              <w:rPr>
                <w:kern w:val="0"/>
                <w:szCs w:val="21"/>
              </w:rPr>
            </w:pPr>
            <w:r>
              <w:rPr>
                <w:kern w:val="0"/>
                <w:szCs w:val="21"/>
              </w:rPr>
              <w:t>100 million ton-km</w:t>
            </w:r>
          </w:p>
        </w:tc>
        <w:tc>
          <w:tcPr>
            <w:tcW w:w="1521" w:type="dxa"/>
            <w:vAlign w:val="bottom"/>
          </w:tcPr>
          <w:p>
            <w:pPr>
              <w:ind w:right="210" w:rightChars="100"/>
              <w:jc w:val="right"/>
              <w:rPr>
                <w:szCs w:val="21"/>
              </w:rPr>
            </w:pPr>
            <w:r>
              <w:rPr>
                <w:rFonts w:hint="eastAsia"/>
                <w:szCs w:val="21"/>
              </w:rPr>
              <w:t>2</w:t>
            </w:r>
            <w:r>
              <w:rPr>
                <w:szCs w:val="21"/>
              </w:rPr>
              <w:t>74.4</w:t>
            </w:r>
          </w:p>
        </w:tc>
        <w:tc>
          <w:tcPr>
            <w:tcW w:w="1376" w:type="dxa"/>
            <w:vAlign w:val="bottom"/>
          </w:tcPr>
          <w:p>
            <w:pPr>
              <w:ind w:right="210" w:rightChars="100"/>
              <w:jc w:val="right"/>
              <w:rPr>
                <w:szCs w:val="21"/>
              </w:rPr>
            </w:pPr>
            <w:r>
              <w:rPr>
                <w:rFonts w:hint="eastAsia"/>
                <w:szCs w:val="21"/>
              </w:rPr>
              <w:t>1</w:t>
            </w:r>
            <w:r>
              <w:rPr>
                <w:szCs w:val="21"/>
              </w:rPr>
              <w:t>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657" w:type="dxa"/>
            <w:vAlign w:val="center"/>
          </w:tcPr>
          <w:p>
            <w:pPr>
              <w:widowControl/>
              <w:ind w:firstLine="189" w:firstLineChars="90"/>
              <w:rPr>
                <w:kern w:val="0"/>
                <w:szCs w:val="21"/>
              </w:rPr>
            </w:pPr>
            <w:r>
              <w:rPr>
                <w:kern w:val="0"/>
                <w:szCs w:val="21"/>
              </w:rPr>
              <w:t>Highways</w:t>
            </w:r>
          </w:p>
        </w:tc>
        <w:tc>
          <w:tcPr>
            <w:tcW w:w="2250" w:type="dxa"/>
            <w:vAlign w:val="center"/>
          </w:tcPr>
          <w:p>
            <w:pPr>
              <w:widowControl/>
              <w:jc w:val="center"/>
              <w:rPr>
                <w:kern w:val="0"/>
                <w:szCs w:val="21"/>
              </w:rPr>
            </w:pPr>
            <w:r>
              <w:rPr>
                <w:kern w:val="0"/>
                <w:szCs w:val="21"/>
              </w:rPr>
              <w:t>100 million ton-km</w:t>
            </w:r>
          </w:p>
        </w:tc>
        <w:tc>
          <w:tcPr>
            <w:tcW w:w="1521" w:type="dxa"/>
            <w:vAlign w:val="bottom"/>
          </w:tcPr>
          <w:p>
            <w:pPr>
              <w:ind w:right="210" w:rightChars="100"/>
              <w:jc w:val="right"/>
              <w:rPr>
                <w:szCs w:val="21"/>
              </w:rPr>
            </w:pPr>
            <w:r>
              <w:rPr>
                <w:rFonts w:hint="eastAsia"/>
                <w:szCs w:val="21"/>
              </w:rPr>
              <w:t>2</w:t>
            </w:r>
            <w:r>
              <w:rPr>
                <w:szCs w:val="21"/>
              </w:rPr>
              <w:t>25.4</w:t>
            </w:r>
          </w:p>
        </w:tc>
        <w:tc>
          <w:tcPr>
            <w:tcW w:w="1376" w:type="dxa"/>
            <w:vAlign w:val="bottom"/>
          </w:tcPr>
          <w:p>
            <w:pPr>
              <w:ind w:right="210" w:rightChars="100"/>
              <w:jc w:val="right"/>
              <w:rPr>
                <w:szCs w:val="21"/>
              </w:rPr>
            </w:pPr>
            <w:r>
              <w:rPr>
                <w:szCs w:val="21"/>
              </w:rPr>
              <w:t>-17.9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657" w:type="dxa"/>
            <w:vAlign w:val="center"/>
          </w:tcPr>
          <w:p>
            <w:pPr>
              <w:widowControl/>
              <w:ind w:firstLine="189" w:firstLineChars="90"/>
              <w:rPr>
                <w:kern w:val="0"/>
                <w:szCs w:val="21"/>
              </w:rPr>
            </w:pPr>
            <w:r>
              <w:rPr>
                <w:kern w:val="0"/>
                <w:szCs w:val="21"/>
              </w:rPr>
              <w:t xml:space="preserve">Civil </w:t>
            </w:r>
            <w:r>
              <w:rPr>
                <w:rFonts w:hint="eastAsia"/>
                <w:kern w:val="0"/>
                <w:szCs w:val="21"/>
              </w:rPr>
              <w:t>A</w:t>
            </w:r>
            <w:r>
              <w:rPr>
                <w:kern w:val="0"/>
                <w:szCs w:val="21"/>
              </w:rPr>
              <w:t>viation</w:t>
            </w:r>
          </w:p>
        </w:tc>
        <w:tc>
          <w:tcPr>
            <w:tcW w:w="2250" w:type="dxa"/>
            <w:vAlign w:val="center"/>
          </w:tcPr>
          <w:p>
            <w:pPr>
              <w:widowControl/>
              <w:jc w:val="center"/>
              <w:rPr>
                <w:kern w:val="0"/>
                <w:szCs w:val="21"/>
              </w:rPr>
            </w:pPr>
            <w:r>
              <w:rPr>
                <w:kern w:val="0"/>
                <w:szCs w:val="21"/>
              </w:rPr>
              <w:t>100 million ton-km</w:t>
            </w:r>
          </w:p>
        </w:tc>
        <w:tc>
          <w:tcPr>
            <w:tcW w:w="1521" w:type="dxa"/>
            <w:vAlign w:val="bottom"/>
          </w:tcPr>
          <w:p>
            <w:pPr>
              <w:ind w:right="210" w:rightChars="100"/>
              <w:jc w:val="right"/>
              <w:rPr>
                <w:szCs w:val="21"/>
              </w:rPr>
            </w:pPr>
            <w:r>
              <w:rPr>
                <w:szCs w:val="21"/>
              </w:rPr>
              <w:t>67.2</w:t>
            </w:r>
          </w:p>
        </w:tc>
        <w:tc>
          <w:tcPr>
            <w:tcW w:w="1376" w:type="dxa"/>
            <w:vAlign w:val="bottom"/>
          </w:tcPr>
          <w:p>
            <w:pPr>
              <w:ind w:right="210" w:rightChars="100"/>
              <w:jc w:val="right"/>
              <w:rPr>
                <w:szCs w:val="21"/>
              </w:rPr>
            </w:pPr>
            <w:r>
              <w:rPr>
                <w:szCs w:val="21"/>
              </w:rPr>
              <w:t>-11.3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657" w:type="dxa"/>
            <w:vAlign w:val="center"/>
          </w:tcPr>
          <w:p>
            <w:pPr>
              <w:widowControl/>
              <w:ind w:firstLine="189" w:firstLineChars="90"/>
              <w:rPr>
                <w:kern w:val="0"/>
                <w:szCs w:val="21"/>
              </w:rPr>
            </w:pPr>
            <w:r>
              <w:rPr>
                <w:kern w:val="0"/>
                <w:szCs w:val="21"/>
              </w:rPr>
              <w:t>Pipelines</w:t>
            </w:r>
          </w:p>
        </w:tc>
        <w:tc>
          <w:tcPr>
            <w:tcW w:w="2250" w:type="dxa"/>
            <w:vAlign w:val="center"/>
          </w:tcPr>
          <w:p>
            <w:pPr>
              <w:widowControl/>
              <w:jc w:val="center"/>
              <w:rPr>
                <w:kern w:val="0"/>
                <w:szCs w:val="21"/>
              </w:rPr>
            </w:pPr>
            <w:r>
              <w:rPr>
                <w:kern w:val="0"/>
                <w:szCs w:val="21"/>
              </w:rPr>
              <w:t>100 million ton-km</w:t>
            </w:r>
          </w:p>
        </w:tc>
        <w:tc>
          <w:tcPr>
            <w:tcW w:w="1521" w:type="dxa"/>
            <w:vAlign w:val="bottom"/>
          </w:tcPr>
          <w:p>
            <w:pPr>
              <w:ind w:right="210" w:rightChars="100"/>
              <w:jc w:val="right"/>
              <w:rPr>
                <w:szCs w:val="21"/>
              </w:rPr>
            </w:pPr>
            <w:r>
              <w:rPr>
                <w:szCs w:val="21"/>
              </w:rPr>
              <w:t>314.5</w:t>
            </w:r>
          </w:p>
        </w:tc>
        <w:tc>
          <w:tcPr>
            <w:tcW w:w="1376" w:type="dxa"/>
            <w:vAlign w:val="bottom"/>
          </w:tcPr>
          <w:p>
            <w:pPr>
              <w:ind w:right="210" w:rightChars="100"/>
              <w:jc w:val="right"/>
              <w:rPr>
                <w:szCs w:val="21"/>
              </w:rPr>
            </w:pPr>
            <w:r>
              <w:rPr>
                <w:szCs w:val="21"/>
              </w:rPr>
              <w:t>11.7</w:t>
            </w:r>
          </w:p>
        </w:tc>
      </w:tr>
    </w:tbl>
    <w:p>
      <w:pPr>
        <w:widowControl/>
        <w:jc w:val="center"/>
        <w:rPr>
          <w:b/>
          <w:kern w:val="0"/>
          <w:sz w:val="24"/>
        </w:rPr>
      </w:pPr>
    </w:p>
    <w:p>
      <w:pPr>
        <w:widowControl/>
        <w:jc w:val="center"/>
        <w:rPr>
          <w:b/>
          <w:kern w:val="0"/>
          <w:sz w:val="24"/>
        </w:rPr>
      </w:pPr>
      <w:r>
        <w:rPr>
          <w:b/>
          <w:kern w:val="0"/>
          <w:sz w:val="24"/>
        </w:rPr>
        <w:t>Table 8: Volume of Passenger Traffic and Passenger Turnover Done by All Means of Transportation in 2022</w:t>
      </w:r>
    </w:p>
    <w:tbl>
      <w:tblPr>
        <w:tblStyle w:val="14"/>
        <w:tblW w:w="8946" w:type="dxa"/>
        <w:tblInd w:w="93"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3636"/>
        <w:gridCol w:w="2271"/>
        <w:gridCol w:w="1521"/>
        <w:gridCol w:w="1518"/>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3636" w:type="dxa"/>
            <w:vAlign w:val="center"/>
          </w:tcPr>
          <w:p>
            <w:pPr>
              <w:widowControl/>
              <w:jc w:val="center"/>
              <w:rPr>
                <w:kern w:val="0"/>
                <w:szCs w:val="21"/>
              </w:rPr>
            </w:pPr>
            <w:r>
              <w:rPr>
                <w:kern w:val="0"/>
                <w:szCs w:val="21"/>
              </w:rPr>
              <w:t>Indicators</w:t>
            </w:r>
          </w:p>
        </w:tc>
        <w:tc>
          <w:tcPr>
            <w:tcW w:w="2271" w:type="dxa"/>
            <w:vAlign w:val="center"/>
          </w:tcPr>
          <w:p>
            <w:pPr>
              <w:widowControl/>
              <w:jc w:val="center"/>
              <w:rPr>
                <w:kern w:val="0"/>
                <w:szCs w:val="21"/>
              </w:rPr>
            </w:pPr>
            <w:r>
              <w:rPr>
                <w:kern w:val="0"/>
                <w:szCs w:val="21"/>
              </w:rPr>
              <w:t>Unit</w:t>
            </w:r>
          </w:p>
        </w:tc>
        <w:tc>
          <w:tcPr>
            <w:tcW w:w="1521" w:type="dxa"/>
            <w:vAlign w:val="center"/>
          </w:tcPr>
          <w:p>
            <w:pPr>
              <w:widowControl/>
              <w:jc w:val="center"/>
              <w:rPr>
                <w:kern w:val="0"/>
                <w:szCs w:val="21"/>
              </w:rPr>
            </w:pPr>
            <w:r>
              <w:rPr>
                <w:kern w:val="0"/>
                <w:szCs w:val="21"/>
              </w:rPr>
              <w:t>Absolute volume</w:t>
            </w:r>
          </w:p>
        </w:tc>
        <w:tc>
          <w:tcPr>
            <w:tcW w:w="1518" w:type="dxa"/>
            <w:vAlign w:val="center"/>
          </w:tcPr>
          <w:p>
            <w:pPr>
              <w:widowControl/>
              <w:jc w:val="center"/>
              <w:rPr>
                <w:kern w:val="0"/>
                <w:szCs w:val="21"/>
              </w:rPr>
            </w:pPr>
            <w:r>
              <w:rPr>
                <w:szCs w:val="21"/>
              </w:rPr>
              <w:t>Increase over the previous year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3636" w:type="dxa"/>
            <w:vAlign w:val="center"/>
          </w:tcPr>
          <w:p>
            <w:pPr>
              <w:widowControl/>
              <w:rPr>
                <w:kern w:val="0"/>
                <w:szCs w:val="21"/>
              </w:rPr>
            </w:pPr>
            <w:r>
              <w:rPr>
                <w:kern w:val="0"/>
                <w:szCs w:val="21"/>
              </w:rPr>
              <w:t xml:space="preserve">Total </w:t>
            </w:r>
            <w:r>
              <w:rPr>
                <w:rFonts w:hint="eastAsia"/>
                <w:kern w:val="0"/>
                <w:szCs w:val="21"/>
              </w:rPr>
              <w:t>P</w:t>
            </w:r>
            <w:r>
              <w:rPr>
                <w:kern w:val="0"/>
                <w:szCs w:val="21"/>
              </w:rPr>
              <w:t xml:space="preserve">assenger </w:t>
            </w:r>
            <w:r>
              <w:rPr>
                <w:rFonts w:hint="eastAsia"/>
                <w:kern w:val="0"/>
                <w:szCs w:val="21"/>
              </w:rPr>
              <w:t>T</w:t>
            </w:r>
            <w:r>
              <w:rPr>
                <w:kern w:val="0"/>
                <w:szCs w:val="21"/>
              </w:rPr>
              <w:t>raffic</w:t>
            </w:r>
          </w:p>
        </w:tc>
        <w:tc>
          <w:tcPr>
            <w:tcW w:w="2271" w:type="dxa"/>
            <w:vAlign w:val="center"/>
          </w:tcPr>
          <w:p>
            <w:pPr>
              <w:widowControl/>
              <w:jc w:val="center"/>
              <w:rPr>
                <w:kern w:val="0"/>
                <w:szCs w:val="21"/>
              </w:rPr>
            </w:pPr>
            <w:r>
              <w:rPr>
                <w:kern w:val="0"/>
                <w:szCs w:val="21"/>
              </w:rPr>
              <w:t>10,000 persons</w:t>
            </w:r>
          </w:p>
        </w:tc>
        <w:tc>
          <w:tcPr>
            <w:tcW w:w="1521" w:type="dxa"/>
            <w:vAlign w:val="bottom"/>
          </w:tcPr>
          <w:p>
            <w:pPr>
              <w:ind w:right="210" w:rightChars="100"/>
              <w:jc w:val="right"/>
              <w:rPr>
                <w:bCs/>
                <w:szCs w:val="21"/>
              </w:rPr>
            </w:pPr>
            <w:r>
              <w:rPr>
                <w:bCs/>
                <w:szCs w:val="21"/>
              </w:rPr>
              <w:t>28057.7</w:t>
            </w:r>
          </w:p>
        </w:tc>
        <w:tc>
          <w:tcPr>
            <w:tcW w:w="1518" w:type="dxa"/>
            <w:vAlign w:val="bottom"/>
          </w:tcPr>
          <w:p>
            <w:pPr>
              <w:ind w:right="210" w:rightChars="100"/>
              <w:jc w:val="right"/>
              <w:rPr>
                <w:bCs/>
                <w:szCs w:val="21"/>
              </w:rPr>
            </w:pPr>
            <w:r>
              <w:rPr>
                <w:bCs/>
                <w:szCs w:val="21"/>
              </w:rPr>
              <w:t>-33.7</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3636" w:type="dxa"/>
            <w:vAlign w:val="center"/>
          </w:tcPr>
          <w:p>
            <w:pPr>
              <w:widowControl/>
              <w:ind w:firstLine="189" w:firstLineChars="90"/>
              <w:rPr>
                <w:kern w:val="0"/>
                <w:szCs w:val="21"/>
              </w:rPr>
            </w:pPr>
            <w:r>
              <w:rPr>
                <w:kern w:val="0"/>
                <w:szCs w:val="21"/>
              </w:rPr>
              <w:t>Railways (dispatched number)</w:t>
            </w:r>
          </w:p>
        </w:tc>
        <w:tc>
          <w:tcPr>
            <w:tcW w:w="2271" w:type="dxa"/>
            <w:vAlign w:val="center"/>
          </w:tcPr>
          <w:p>
            <w:pPr>
              <w:widowControl/>
              <w:jc w:val="center"/>
              <w:rPr>
                <w:kern w:val="0"/>
                <w:szCs w:val="21"/>
              </w:rPr>
            </w:pPr>
            <w:r>
              <w:rPr>
                <w:kern w:val="0"/>
                <w:szCs w:val="21"/>
              </w:rPr>
              <w:t>10,000 persons</w:t>
            </w:r>
          </w:p>
        </w:tc>
        <w:tc>
          <w:tcPr>
            <w:tcW w:w="1521" w:type="dxa"/>
            <w:vAlign w:val="center"/>
          </w:tcPr>
          <w:p>
            <w:pPr>
              <w:ind w:right="210" w:rightChars="100"/>
              <w:jc w:val="right"/>
              <w:rPr>
                <w:szCs w:val="21"/>
              </w:rPr>
            </w:pPr>
            <w:r>
              <w:rPr>
                <w:szCs w:val="21"/>
              </w:rPr>
              <w:t>3906.7</w:t>
            </w:r>
          </w:p>
        </w:tc>
        <w:tc>
          <w:tcPr>
            <w:tcW w:w="1518" w:type="dxa"/>
            <w:vAlign w:val="center"/>
          </w:tcPr>
          <w:p>
            <w:pPr>
              <w:ind w:right="210" w:rightChars="100"/>
              <w:jc w:val="right"/>
              <w:rPr>
                <w:szCs w:val="21"/>
              </w:rPr>
            </w:pPr>
            <w:r>
              <w:rPr>
                <w:szCs w:val="21"/>
              </w:rPr>
              <w:t>-54.3</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3636" w:type="dxa"/>
            <w:vAlign w:val="center"/>
          </w:tcPr>
          <w:p>
            <w:pPr>
              <w:widowControl/>
              <w:ind w:firstLine="189" w:firstLineChars="90"/>
              <w:rPr>
                <w:kern w:val="0"/>
                <w:szCs w:val="21"/>
              </w:rPr>
            </w:pPr>
            <w:r>
              <w:rPr>
                <w:kern w:val="0"/>
                <w:szCs w:val="21"/>
              </w:rPr>
              <w:t>Highways</w:t>
            </w:r>
          </w:p>
        </w:tc>
        <w:tc>
          <w:tcPr>
            <w:tcW w:w="2271" w:type="dxa"/>
            <w:vAlign w:val="center"/>
          </w:tcPr>
          <w:p>
            <w:pPr>
              <w:widowControl/>
              <w:jc w:val="center"/>
              <w:rPr>
                <w:kern w:val="0"/>
                <w:szCs w:val="21"/>
              </w:rPr>
            </w:pPr>
            <w:r>
              <w:rPr>
                <w:kern w:val="0"/>
                <w:szCs w:val="21"/>
              </w:rPr>
              <w:t>10,000 persons</w:t>
            </w:r>
          </w:p>
        </w:tc>
        <w:tc>
          <w:tcPr>
            <w:tcW w:w="1521" w:type="dxa"/>
            <w:vAlign w:val="bottom"/>
          </w:tcPr>
          <w:p>
            <w:pPr>
              <w:ind w:right="210" w:rightChars="100"/>
              <w:jc w:val="right"/>
              <w:rPr>
                <w:szCs w:val="21"/>
              </w:rPr>
            </w:pPr>
            <w:r>
              <w:rPr>
                <w:szCs w:val="21"/>
              </w:rPr>
              <w:t>21105.2</w:t>
            </w:r>
          </w:p>
        </w:tc>
        <w:tc>
          <w:tcPr>
            <w:tcW w:w="1518" w:type="dxa"/>
            <w:vAlign w:val="bottom"/>
          </w:tcPr>
          <w:p>
            <w:pPr>
              <w:ind w:right="210" w:rightChars="100"/>
              <w:jc w:val="right"/>
              <w:rPr>
                <w:szCs w:val="21"/>
              </w:rPr>
            </w:pPr>
            <w:r>
              <w:rPr>
                <w:szCs w:val="21"/>
              </w:rPr>
              <w:t>-24.8</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3636" w:type="dxa"/>
            <w:vAlign w:val="center"/>
          </w:tcPr>
          <w:p>
            <w:pPr>
              <w:widowControl/>
              <w:ind w:firstLine="189" w:firstLineChars="90"/>
              <w:rPr>
                <w:kern w:val="0"/>
                <w:szCs w:val="21"/>
              </w:rPr>
            </w:pPr>
            <w:r>
              <w:rPr>
                <w:kern w:val="0"/>
                <w:szCs w:val="21"/>
              </w:rPr>
              <w:t xml:space="preserve">Civil </w:t>
            </w:r>
            <w:r>
              <w:rPr>
                <w:rFonts w:hint="eastAsia"/>
                <w:kern w:val="0"/>
                <w:szCs w:val="21"/>
              </w:rPr>
              <w:t>A</w:t>
            </w:r>
            <w:r>
              <w:rPr>
                <w:kern w:val="0"/>
                <w:szCs w:val="21"/>
              </w:rPr>
              <w:t>viation</w:t>
            </w:r>
          </w:p>
        </w:tc>
        <w:tc>
          <w:tcPr>
            <w:tcW w:w="2271" w:type="dxa"/>
            <w:vAlign w:val="center"/>
          </w:tcPr>
          <w:p>
            <w:pPr>
              <w:widowControl/>
              <w:jc w:val="center"/>
              <w:rPr>
                <w:kern w:val="0"/>
                <w:szCs w:val="21"/>
              </w:rPr>
            </w:pPr>
            <w:r>
              <w:rPr>
                <w:kern w:val="0"/>
                <w:szCs w:val="21"/>
              </w:rPr>
              <w:t>10,000 persons</w:t>
            </w:r>
          </w:p>
        </w:tc>
        <w:tc>
          <w:tcPr>
            <w:tcW w:w="1521" w:type="dxa"/>
            <w:vAlign w:val="bottom"/>
          </w:tcPr>
          <w:p>
            <w:pPr>
              <w:ind w:right="210" w:rightChars="100"/>
              <w:jc w:val="right"/>
              <w:rPr>
                <w:szCs w:val="21"/>
              </w:rPr>
            </w:pPr>
            <w:r>
              <w:rPr>
                <w:szCs w:val="21"/>
              </w:rPr>
              <w:t>3045.8</w:t>
            </w:r>
          </w:p>
        </w:tc>
        <w:tc>
          <w:tcPr>
            <w:tcW w:w="1518" w:type="dxa"/>
            <w:vAlign w:val="bottom"/>
          </w:tcPr>
          <w:p>
            <w:pPr>
              <w:ind w:right="210" w:rightChars="100"/>
              <w:jc w:val="right"/>
              <w:rPr>
                <w:szCs w:val="21"/>
              </w:rPr>
            </w:pPr>
            <w:r>
              <w:rPr>
                <w:szCs w:val="21"/>
              </w:rPr>
              <w:t>-46.6</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3636" w:type="dxa"/>
            <w:vAlign w:val="center"/>
          </w:tcPr>
          <w:p>
            <w:pPr>
              <w:widowControl/>
              <w:rPr>
                <w:kern w:val="0"/>
                <w:szCs w:val="21"/>
              </w:rPr>
            </w:pPr>
            <w:bookmarkStart w:id="11" w:name="OLE_LINK31"/>
            <w:bookmarkStart w:id="12" w:name="OLE_LINK28"/>
            <w:bookmarkStart w:id="13" w:name="OLE_LINK29"/>
            <w:bookmarkStart w:id="14" w:name="OLE_LINK30"/>
            <w:r>
              <w:rPr>
                <w:kern w:val="0"/>
                <w:szCs w:val="21"/>
              </w:rPr>
              <w:t>Passenger</w:t>
            </w:r>
            <w:r>
              <w:rPr>
                <w:rFonts w:hint="eastAsia"/>
                <w:kern w:val="0"/>
                <w:szCs w:val="21"/>
              </w:rPr>
              <w:t xml:space="preserve"> </w:t>
            </w:r>
            <w:bookmarkEnd w:id="11"/>
            <w:bookmarkEnd w:id="12"/>
            <w:bookmarkEnd w:id="13"/>
            <w:bookmarkEnd w:id="14"/>
            <w:r>
              <w:rPr>
                <w:kern w:val="0"/>
                <w:szCs w:val="21"/>
              </w:rPr>
              <w:t>Turnover</w:t>
            </w:r>
          </w:p>
        </w:tc>
        <w:tc>
          <w:tcPr>
            <w:tcW w:w="2271" w:type="dxa"/>
            <w:vAlign w:val="center"/>
          </w:tcPr>
          <w:p>
            <w:pPr>
              <w:widowControl/>
              <w:jc w:val="center"/>
              <w:rPr>
                <w:kern w:val="0"/>
                <w:szCs w:val="21"/>
              </w:rPr>
            </w:pPr>
            <w:r>
              <w:rPr>
                <w:kern w:val="0"/>
                <w:szCs w:val="21"/>
              </w:rPr>
              <w:t>100 million passenger-km</w:t>
            </w:r>
          </w:p>
        </w:tc>
        <w:tc>
          <w:tcPr>
            <w:tcW w:w="1521" w:type="dxa"/>
            <w:vAlign w:val="center"/>
          </w:tcPr>
          <w:p>
            <w:pPr>
              <w:ind w:right="210" w:rightChars="100"/>
              <w:jc w:val="right"/>
              <w:rPr>
                <w:bCs/>
                <w:szCs w:val="21"/>
              </w:rPr>
            </w:pPr>
            <w:r>
              <w:rPr>
                <w:bCs/>
                <w:szCs w:val="21"/>
              </w:rPr>
              <w:t>580.5</w:t>
            </w:r>
          </w:p>
        </w:tc>
        <w:tc>
          <w:tcPr>
            <w:tcW w:w="1518" w:type="dxa"/>
            <w:vAlign w:val="center"/>
          </w:tcPr>
          <w:p>
            <w:pPr>
              <w:ind w:right="210" w:rightChars="100"/>
              <w:jc w:val="right"/>
              <w:rPr>
                <w:bCs/>
                <w:szCs w:val="21"/>
              </w:rPr>
            </w:pPr>
            <w:r>
              <w:rPr>
                <w:bCs/>
                <w:szCs w:val="21"/>
              </w:rPr>
              <w:t>-44.6</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3636" w:type="dxa"/>
            <w:vAlign w:val="center"/>
          </w:tcPr>
          <w:p>
            <w:pPr>
              <w:widowControl/>
              <w:ind w:firstLine="189" w:firstLineChars="90"/>
              <w:rPr>
                <w:kern w:val="0"/>
                <w:szCs w:val="21"/>
              </w:rPr>
            </w:pPr>
            <w:r>
              <w:rPr>
                <w:kern w:val="0"/>
                <w:szCs w:val="21"/>
              </w:rPr>
              <w:t>Railways</w:t>
            </w:r>
          </w:p>
        </w:tc>
        <w:tc>
          <w:tcPr>
            <w:tcW w:w="2271" w:type="dxa"/>
            <w:vAlign w:val="center"/>
          </w:tcPr>
          <w:p>
            <w:pPr>
              <w:widowControl/>
              <w:jc w:val="center"/>
              <w:rPr>
                <w:kern w:val="0"/>
                <w:szCs w:val="21"/>
              </w:rPr>
            </w:pPr>
            <w:r>
              <w:rPr>
                <w:kern w:val="0"/>
                <w:szCs w:val="21"/>
              </w:rPr>
              <w:t>100 million passenger-km</w:t>
            </w:r>
          </w:p>
        </w:tc>
        <w:tc>
          <w:tcPr>
            <w:tcW w:w="1521" w:type="dxa"/>
            <w:vAlign w:val="center"/>
          </w:tcPr>
          <w:p>
            <w:pPr>
              <w:ind w:right="210" w:rightChars="100"/>
              <w:jc w:val="right"/>
              <w:rPr>
                <w:szCs w:val="21"/>
              </w:rPr>
            </w:pPr>
            <w:r>
              <w:rPr>
                <w:szCs w:val="21"/>
              </w:rPr>
              <w:t>43.6</w:t>
            </w:r>
          </w:p>
        </w:tc>
        <w:tc>
          <w:tcPr>
            <w:tcW w:w="1518" w:type="dxa"/>
            <w:vAlign w:val="center"/>
          </w:tcPr>
          <w:p>
            <w:pPr>
              <w:ind w:right="210" w:rightChars="100"/>
              <w:jc w:val="right"/>
              <w:rPr>
                <w:szCs w:val="21"/>
              </w:rPr>
            </w:pPr>
            <w:r>
              <w:rPr>
                <w:szCs w:val="21"/>
              </w:rPr>
              <w:t>-54.4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3636" w:type="dxa"/>
            <w:vAlign w:val="center"/>
          </w:tcPr>
          <w:p>
            <w:pPr>
              <w:widowControl/>
              <w:ind w:firstLine="189" w:firstLineChars="90"/>
              <w:rPr>
                <w:kern w:val="0"/>
                <w:szCs w:val="21"/>
              </w:rPr>
            </w:pPr>
            <w:r>
              <w:rPr>
                <w:kern w:val="0"/>
                <w:szCs w:val="21"/>
              </w:rPr>
              <w:t>Highways</w:t>
            </w:r>
          </w:p>
        </w:tc>
        <w:tc>
          <w:tcPr>
            <w:tcW w:w="2271" w:type="dxa"/>
            <w:vAlign w:val="center"/>
          </w:tcPr>
          <w:p>
            <w:pPr>
              <w:widowControl/>
              <w:jc w:val="center"/>
              <w:rPr>
                <w:kern w:val="0"/>
                <w:szCs w:val="21"/>
              </w:rPr>
            </w:pPr>
            <w:r>
              <w:rPr>
                <w:kern w:val="0"/>
                <w:szCs w:val="21"/>
              </w:rPr>
              <w:t>100 million passenger-km</w:t>
            </w:r>
          </w:p>
        </w:tc>
        <w:tc>
          <w:tcPr>
            <w:tcW w:w="1521" w:type="dxa"/>
            <w:vAlign w:val="center"/>
          </w:tcPr>
          <w:p>
            <w:pPr>
              <w:ind w:right="210" w:rightChars="100"/>
              <w:jc w:val="right"/>
              <w:rPr>
                <w:szCs w:val="21"/>
              </w:rPr>
            </w:pPr>
            <w:r>
              <w:rPr>
                <w:szCs w:val="21"/>
              </w:rPr>
              <w:t>45.0</w:t>
            </w:r>
          </w:p>
        </w:tc>
        <w:tc>
          <w:tcPr>
            <w:tcW w:w="1518" w:type="dxa"/>
            <w:vAlign w:val="center"/>
          </w:tcPr>
          <w:p>
            <w:pPr>
              <w:ind w:right="210" w:rightChars="100"/>
              <w:jc w:val="right"/>
              <w:rPr>
                <w:szCs w:val="21"/>
              </w:rPr>
            </w:pPr>
            <w:r>
              <w:rPr>
                <w:szCs w:val="21"/>
              </w:rPr>
              <w:t>-16.8</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3636" w:type="dxa"/>
            <w:vAlign w:val="center"/>
          </w:tcPr>
          <w:p>
            <w:pPr>
              <w:widowControl/>
              <w:ind w:firstLine="189" w:firstLineChars="90"/>
              <w:rPr>
                <w:kern w:val="0"/>
                <w:szCs w:val="21"/>
              </w:rPr>
            </w:pPr>
            <w:r>
              <w:rPr>
                <w:kern w:val="0"/>
                <w:szCs w:val="21"/>
              </w:rPr>
              <w:t xml:space="preserve">Civil </w:t>
            </w:r>
            <w:r>
              <w:rPr>
                <w:rFonts w:hint="eastAsia"/>
                <w:kern w:val="0"/>
                <w:szCs w:val="21"/>
              </w:rPr>
              <w:t>A</w:t>
            </w:r>
            <w:r>
              <w:rPr>
                <w:kern w:val="0"/>
                <w:szCs w:val="21"/>
              </w:rPr>
              <w:t>viation</w:t>
            </w:r>
          </w:p>
        </w:tc>
        <w:tc>
          <w:tcPr>
            <w:tcW w:w="2271" w:type="dxa"/>
            <w:vAlign w:val="center"/>
          </w:tcPr>
          <w:p>
            <w:pPr>
              <w:widowControl/>
              <w:jc w:val="center"/>
              <w:rPr>
                <w:kern w:val="0"/>
                <w:szCs w:val="21"/>
              </w:rPr>
            </w:pPr>
            <w:r>
              <w:rPr>
                <w:kern w:val="0"/>
                <w:szCs w:val="21"/>
              </w:rPr>
              <w:t>100 million passenger-km</w:t>
            </w:r>
          </w:p>
        </w:tc>
        <w:tc>
          <w:tcPr>
            <w:tcW w:w="1521" w:type="dxa"/>
            <w:vAlign w:val="center"/>
          </w:tcPr>
          <w:p>
            <w:pPr>
              <w:ind w:right="210" w:rightChars="100"/>
              <w:jc w:val="right"/>
              <w:rPr>
                <w:szCs w:val="21"/>
              </w:rPr>
            </w:pPr>
            <w:r>
              <w:rPr>
                <w:szCs w:val="21"/>
              </w:rPr>
              <w:t>491.9</w:t>
            </w:r>
          </w:p>
        </w:tc>
        <w:tc>
          <w:tcPr>
            <w:tcW w:w="1518" w:type="dxa"/>
            <w:vAlign w:val="center"/>
          </w:tcPr>
          <w:p>
            <w:pPr>
              <w:ind w:right="210" w:rightChars="100"/>
              <w:jc w:val="right"/>
              <w:rPr>
                <w:szCs w:val="21"/>
              </w:rPr>
            </w:pPr>
            <w:r>
              <w:rPr>
                <w:szCs w:val="21"/>
              </w:rPr>
              <w:t>-45.2</w:t>
            </w:r>
          </w:p>
        </w:tc>
      </w:tr>
    </w:tbl>
    <w:p>
      <w:pPr>
        <w:rPr>
          <w:sz w:val="28"/>
          <w:szCs w:val="28"/>
        </w:rPr>
      </w:pPr>
      <w:r>
        <w:rPr>
          <w:sz w:val="28"/>
          <w:szCs w:val="28"/>
        </w:rPr>
        <w:t xml:space="preserve">By the end of 2022, the city boasted 7.128 million automobiles, an increase of 278 thousands </w:t>
      </w:r>
      <w:r>
        <w:rPr>
          <w:rFonts w:eastAsia="仿宋_GB2312"/>
          <w:sz w:val="28"/>
          <w:szCs w:val="28"/>
        </w:rPr>
        <w:t>over that at the end of the previous year</w:t>
      </w:r>
      <w:r>
        <w:rPr>
          <w:sz w:val="28"/>
          <w:szCs w:val="28"/>
        </w:rPr>
        <w:t xml:space="preserve">. The number of civil cars registered 6.256 million, an increase of 113 thousands. </w:t>
      </w:r>
      <w:r>
        <w:rPr>
          <w:rFonts w:hint="eastAsia"/>
          <w:sz w:val="28"/>
          <w:szCs w:val="28"/>
        </w:rPr>
        <w:t>Of which, the</w:t>
      </w:r>
      <w:r>
        <w:rPr>
          <w:sz w:val="28"/>
          <w:szCs w:val="28"/>
        </w:rPr>
        <w:t xml:space="preserve"> number of private cars amounted to 5.326 million, increasing by 114 thousands; sedans numbered 2.906 million.</w:t>
      </w:r>
    </w:p>
    <w:p>
      <w:pPr>
        <w:jc w:val="center"/>
        <w:rPr>
          <w:b/>
          <w:sz w:val="24"/>
        </w:rPr>
      </w:pPr>
      <w:r>
        <w:rPr>
          <w:b/>
          <w:sz w:val="24"/>
        </w:rPr>
        <w:t xml:space="preserve">Figure 4: </w:t>
      </w:r>
      <w:r>
        <w:rPr>
          <w:rFonts w:hint="eastAsia"/>
          <w:b/>
          <w:sz w:val="24"/>
        </w:rPr>
        <w:t>Number of Automobiles</w:t>
      </w:r>
      <w:r>
        <w:rPr>
          <w:b/>
          <w:sz w:val="24"/>
        </w:rPr>
        <w:t xml:space="preserve"> by the End of 2018 to the End of 2022</w:t>
      </w:r>
    </w:p>
    <w:p>
      <w:pPr>
        <w:tabs>
          <w:tab w:val="left" w:pos="5103"/>
        </w:tabs>
        <w:jc w:val="center"/>
        <w:rPr>
          <w:rFonts w:ascii="宋体" w:hAnsi="宋体"/>
          <w:b/>
          <w:sz w:val="28"/>
          <w:szCs w:val="28"/>
        </w:rPr>
      </w:pPr>
      <w:r>
        <w:drawing>
          <wp:inline distT="0" distB="0" distL="0" distR="0">
            <wp:extent cx="5028565" cy="2588895"/>
            <wp:effectExtent l="0" t="0" r="635" b="1905"/>
            <wp:docPr id="76" name="图表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rPr>
          <w:sz w:val="28"/>
          <w:szCs w:val="28"/>
        </w:rPr>
      </w:pPr>
      <w:r>
        <w:rPr>
          <w:b/>
          <w:sz w:val="28"/>
          <w:szCs w:val="28"/>
        </w:rPr>
        <w:t>Post and telecommunications:</w:t>
      </w:r>
      <w:r>
        <w:rPr>
          <w:sz w:val="28"/>
          <w:szCs w:val="28"/>
        </w:rPr>
        <w:t xml:space="preserve"> In 20</w:t>
      </w:r>
      <w:r>
        <w:rPr>
          <w:rFonts w:hint="eastAsia"/>
          <w:sz w:val="28"/>
          <w:szCs w:val="28"/>
        </w:rPr>
        <w:t>2</w:t>
      </w:r>
      <w:r>
        <w:rPr>
          <w:sz w:val="28"/>
          <w:szCs w:val="28"/>
        </w:rPr>
        <w:t>2, the business v</w:t>
      </w:r>
      <w:r>
        <w:rPr>
          <w:color w:val="auto"/>
          <w:sz w:val="28"/>
          <w:szCs w:val="28"/>
          <w:shd w:val="clear" w:color="auto" w:fill="auto"/>
        </w:rPr>
        <w:t>olume of post services</w:t>
      </w:r>
      <w:r>
        <w:rPr>
          <w:rStyle w:val="18"/>
          <w:color w:val="auto"/>
          <w:sz w:val="28"/>
          <w:szCs w:val="28"/>
          <w:shd w:val="clear" w:color="auto" w:fill="auto"/>
        </w:rPr>
        <w:endnoteReference w:id="4" w:customMarkFollows="1"/>
        <w:t>[5]</w:t>
      </w:r>
      <w:r>
        <w:rPr>
          <w:color w:val="auto"/>
          <w:sz w:val="28"/>
          <w:szCs w:val="28"/>
          <w:shd w:val="clear" w:color="auto" w:fill="auto"/>
        </w:rPr>
        <w:t xml:space="preserve"> totaled R</w:t>
      </w:r>
      <w:r>
        <w:rPr>
          <w:sz w:val="28"/>
          <w:szCs w:val="28"/>
        </w:rPr>
        <w:t>MB 28.14 billion, down by 0.5% over the previous year</w:t>
      </w:r>
      <w:r>
        <w:rPr>
          <w:rFonts w:hint="eastAsia"/>
          <w:sz w:val="28"/>
          <w:szCs w:val="28"/>
        </w:rPr>
        <w:t xml:space="preserve"> on comparable basis</w:t>
      </w:r>
      <w:r>
        <w:rPr>
          <w:sz w:val="28"/>
          <w:szCs w:val="28"/>
        </w:rPr>
        <w:t>.</w:t>
      </w:r>
      <w:r>
        <w:rPr>
          <w:rFonts w:hint="eastAsia"/>
          <w:sz w:val="28"/>
          <w:szCs w:val="28"/>
        </w:rPr>
        <w:t xml:space="preserve"> In post services, the business volume of postal letters reached 0.1</w:t>
      </w:r>
      <w:r>
        <w:rPr>
          <w:sz w:val="28"/>
          <w:szCs w:val="28"/>
        </w:rPr>
        <w:t xml:space="preserve">1 </w:t>
      </w:r>
      <w:r>
        <w:rPr>
          <w:rFonts w:hint="eastAsia"/>
          <w:sz w:val="28"/>
          <w:szCs w:val="28"/>
        </w:rPr>
        <w:t>b</w:t>
      </w:r>
      <w:r>
        <w:rPr>
          <w:sz w:val="28"/>
          <w:szCs w:val="28"/>
        </w:rPr>
        <w:t>illion</w:t>
      </w:r>
      <w:r>
        <w:rPr>
          <w:rFonts w:hint="eastAsia"/>
          <w:sz w:val="28"/>
          <w:szCs w:val="28"/>
        </w:rPr>
        <w:t xml:space="preserve">, and the express </w:t>
      </w:r>
      <w:r>
        <w:rPr>
          <w:sz w:val="28"/>
          <w:szCs w:val="28"/>
        </w:rPr>
        <w:t>delivery</w:t>
      </w:r>
      <w:r>
        <w:rPr>
          <w:rFonts w:hint="eastAsia"/>
          <w:sz w:val="28"/>
          <w:szCs w:val="28"/>
        </w:rPr>
        <w:t xml:space="preserve"> business volume reached </w:t>
      </w:r>
      <w:r>
        <w:rPr>
          <w:sz w:val="28"/>
          <w:szCs w:val="28"/>
        </w:rPr>
        <w:t>1.96</w:t>
      </w:r>
      <w:r>
        <w:rPr>
          <w:rFonts w:hint="eastAsia"/>
          <w:sz w:val="28"/>
          <w:szCs w:val="28"/>
        </w:rPr>
        <w:t xml:space="preserve"> billion. In 202</w:t>
      </w:r>
      <w:r>
        <w:rPr>
          <w:sz w:val="28"/>
          <w:szCs w:val="28"/>
        </w:rPr>
        <w:t>2</w:t>
      </w:r>
      <w:r>
        <w:rPr>
          <w:rFonts w:hint="eastAsia"/>
          <w:sz w:val="28"/>
          <w:szCs w:val="28"/>
        </w:rPr>
        <w:t>, the business volume of telecommunication services</w:t>
      </w:r>
      <w:r>
        <w:rPr>
          <w:rStyle w:val="18"/>
          <w:sz w:val="28"/>
          <w:szCs w:val="28"/>
        </w:rPr>
        <w:endnoteReference w:id="5" w:customMarkFollows="1"/>
        <w:t>[6]</w:t>
      </w:r>
      <w:r>
        <w:rPr>
          <w:rFonts w:hint="eastAsia"/>
          <w:sz w:val="28"/>
          <w:szCs w:val="28"/>
        </w:rPr>
        <w:t xml:space="preserve"> totaled </w:t>
      </w:r>
      <w:r>
        <w:rPr>
          <w:sz w:val="28"/>
          <w:szCs w:val="28"/>
        </w:rPr>
        <w:t xml:space="preserve">RMB 55.86 billion, up by 22.6% </w:t>
      </w:r>
      <w:r>
        <w:rPr>
          <w:rFonts w:hint="eastAsia"/>
          <w:sz w:val="28"/>
          <w:szCs w:val="28"/>
        </w:rPr>
        <w:t>on comparable basis</w:t>
      </w:r>
      <w:r>
        <w:rPr>
          <w:sz w:val="28"/>
          <w:szCs w:val="28"/>
        </w:rPr>
        <w:t>. By the end of 2022, the number of mobile phone base stations had reached 298 thousands, of which, that of 4G base stations totaled 151 thousands, and that of 5G base stations totaled 76 thousands, the number of 5G base stations increased by 24 thousands over the previous year. By the end of 20</w:t>
      </w:r>
      <w:r>
        <w:rPr>
          <w:rFonts w:hint="eastAsia"/>
          <w:sz w:val="28"/>
          <w:szCs w:val="28"/>
        </w:rPr>
        <w:t>2</w:t>
      </w:r>
      <w:r>
        <w:rPr>
          <w:sz w:val="28"/>
          <w:szCs w:val="28"/>
        </w:rPr>
        <w:t xml:space="preserve">2, </w:t>
      </w:r>
      <w:r>
        <w:rPr>
          <w:rFonts w:hint="eastAsia"/>
          <w:sz w:val="28"/>
          <w:szCs w:val="28"/>
        </w:rPr>
        <w:t xml:space="preserve">the </w:t>
      </w:r>
      <w:r>
        <w:rPr>
          <w:sz w:val="28"/>
          <w:szCs w:val="28"/>
        </w:rPr>
        <w:t xml:space="preserve">mobile phone subscribers had totaled </w:t>
      </w:r>
      <w:r>
        <w:rPr>
          <w:rFonts w:hint="eastAsia"/>
          <w:sz w:val="28"/>
          <w:szCs w:val="28"/>
        </w:rPr>
        <w:t>39</w:t>
      </w:r>
      <w:r>
        <w:rPr>
          <w:sz w:val="28"/>
          <w:szCs w:val="28"/>
        </w:rPr>
        <w:t xml:space="preserve">.269 million, and the popularization rate of mobile phone reached 179.8 sets per 100 persons. By the end of 2022, the number of fixed broadband Internet subscribers had reached 8.773 million, up by 8.8%; mobile Internet access traffic reached 5.84 </w:t>
      </w:r>
      <w:r>
        <w:rPr>
          <w:rFonts w:hint="eastAsia"/>
          <w:sz w:val="28"/>
          <w:szCs w:val="28"/>
        </w:rPr>
        <w:t>b</w:t>
      </w:r>
      <w:r>
        <w:rPr>
          <w:sz w:val="28"/>
          <w:szCs w:val="28"/>
        </w:rPr>
        <w:t>illion GB, up by 14.6%.</w:t>
      </w:r>
    </w:p>
    <w:p>
      <w:pPr>
        <w:rPr>
          <w:sz w:val="28"/>
          <w:szCs w:val="28"/>
        </w:rPr>
      </w:pPr>
      <w:bookmarkStart w:id="15" w:name="_Toc379894711"/>
      <w:r>
        <w:rPr>
          <w:b/>
          <w:sz w:val="28"/>
          <w:szCs w:val="28"/>
        </w:rPr>
        <w:t xml:space="preserve">V. </w:t>
      </w:r>
      <w:bookmarkStart w:id="16" w:name="OLE_LINK1"/>
      <w:r>
        <w:rPr>
          <w:b/>
          <w:sz w:val="28"/>
          <w:szCs w:val="28"/>
        </w:rPr>
        <w:t>Government Finance and Financ</w:t>
      </w:r>
      <w:bookmarkEnd w:id="15"/>
      <w:r>
        <w:rPr>
          <w:rFonts w:hint="eastAsia"/>
          <w:b/>
          <w:sz w:val="28"/>
          <w:szCs w:val="28"/>
        </w:rPr>
        <w:t xml:space="preserve">ial </w:t>
      </w:r>
      <w:r>
        <w:rPr>
          <w:b/>
          <w:sz w:val="28"/>
          <w:szCs w:val="28"/>
        </w:rPr>
        <w:t>Intermediation</w:t>
      </w:r>
      <w:bookmarkEnd w:id="16"/>
    </w:p>
    <w:p>
      <w:pPr>
        <w:rPr>
          <w:b/>
          <w:sz w:val="28"/>
          <w:szCs w:val="28"/>
        </w:rPr>
      </w:pPr>
      <w:bookmarkStart w:id="17" w:name="OLE_LINK34"/>
      <w:r>
        <w:rPr>
          <w:b/>
          <w:sz w:val="28"/>
          <w:szCs w:val="28"/>
        </w:rPr>
        <w:t>Financ</w:t>
      </w:r>
      <w:r>
        <w:rPr>
          <w:rFonts w:hint="eastAsia"/>
          <w:b/>
          <w:sz w:val="28"/>
          <w:szCs w:val="28"/>
        </w:rPr>
        <w:t>ial Revenue</w:t>
      </w:r>
      <w:r>
        <w:rPr>
          <w:b/>
          <w:sz w:val="28"/>
          <w:szCs w:val="28"/>
        </w:rPr>
        <w:t xml:space="preserve"> and Expenditure</w:t>
      </w:r>
      <w:r>
        <w:rPr>
          <w:sz w:val="28"/>
          <w:szCs w:val="28"/>
        </w:rPr>
        <w:t xml:space="preserve">: In 2022, the general public budgetary revenue amounted to RMB 571.44 billion, up by 2.6% </w:t>
      </w:r>
      <w:r>
        <w:rPr>
          <w:rFonts w:hint="eastAsia"/>
          <w:sz w:val="28"/>
          <w:szCs w:val="28"/>
        </w:rPr>
        <w:t>o</w:t>
      </w:r>
      <w:r>
        <w:rPr>
          <w:sz w:val="28"/>
          <w:szCs w:val="28"/>
        </w:rPr>
        <w:t xml:space="preserve">f the same caliber after deducting the factors of credit refunds. </w:t>
      </w:r>
      <w:r>
        <w:rPr>
          <w:rFonts w:hint="eastAsia"/>
          <w:sz w:val="28"/>
          <w:szCs w:val="28"/>
        </w:rPr>
        <w:t>Of which</w:t>
      </w:r>
      <w:r>
        <w:rPr>
          <w:sz w:val="28"/>
          <w:szCs w:val="28"/>
        </w:rPr>
        <w:t xml:space="preserve">, </w:t>
      </w:r>
      <w:r>
        <w:rPr>
          <w:rFonts w:hint="eastAsia"/>
          <w:sz w:val="28"/>
          <w:szCs w:val="28"/>
        </w:rPr>
        <w:t>v</w:t>
      </w:r>
      <w:r>
        <w:rPr>
          <w:sz w:val="28"/>
          <w:szCs w:val="28"/>
        </w:rPr>
        <w:t xml:space="preserve">alue-added tax amounted to </w:t>
      </w:r>
      <w:r>
        <w:rPr>
          <w:rFonts w:hint="eastAsia"/>
          <w:sz w:val="28"/>
          <w:szCs w:val="28"/>
        </w:rPr>
        <w:t xml:space="preserve">RMB </w:t>
      </w:r>
      <w:r>
        <w:rPr>
          <w:sz w:val="28"/>
          <w:szCs w:val="28"/>
        </w:rPr>
        <w:t xml:space="preserve">131.50 billion, down by 2.7% of the same caliber after deducting the factors of credit refunds; the corporate income tax </w:t>
      </w:r>
      <w:r>
        <w:rPr>
          <w:rFonts w:hint="eastAsia"/>
          <w:sz w:val="28"/>
          <w:szCs w:val="28"/>
        </w:rPr>
        <w:t>amounted to RMB 1</w:t>
      </w:r>
      <w:r>
        <w:rPr>
          <w:sz w:val="28"/>
          <w:szCs w:val="28"/>
        </w:rPr>
        <w:t>44.93</w:t>
      </w:r>
      <w:r>
        <w:rPr>
          <w:rFonts w:hint="eastAsia"/>
          <w:sz w:val="28"/>
          <w:szCs w:val="28"/>
        </w:rPr>
        <w:t xml:space="preserve"> billion, </w:t>
      </w:r>
      <w:r>
        <w:rPr>
          <w:sz w:val="28"/>
          <w:szCs w:val="28"/>
        </w:rPr>
        <w:t>up</w:t>
      </w:r>
      <w:r>
        <w:rPr>
          <w:rFonts w:hint="eastAsia"/>
          <w:sz w:val="28"/>
          <w:szCs w:val="28"/>
        </w:rPr>
        <w:t xml:space="preserve"> by </w:t>
      </w:r>
      <w:r>
        <w:rPr>
          <w:sz w:val="28"/>
          <w:szCs w:val="28"/>
        </w:rPr>
        <w:t>3.9</w:t>
      </w:r>
      <w:r>
        <w:rPr>
          <w:rFonts w:hint="eastAsia"/>
          <w:sz w:val="28"/>
          <w:szCs w:val="28"/>
        </w:rPr>
        <w:t xml:space="preserve">%; and the </w:t>
      </w:r>
      <w:r>
        <w:rPr>
          <w:sz w:val="28"/>
          <w:szCs w:val="28"/>
        </w:rPr>
        <w:t xml:space="preserve">individual income tax reached RMB 78.46 billion, </w:t>
      </w:r>
      <w:r>
        <w:rPr>
          <w:rFonts w:hint="eastAsia"/>
          <w:sz w:val="28"/>
          <w:szCs w:val="28"/>
        </w:rPr>
        <w:t>up</w:t>
      </w:r>
      <w:r>
        <w:rPr>
          <w:sz w:val="28"/>
          <w:szCs w:val="28"/>
        </w:rPr>
        <w:t xml:space="preserve"> by 5</w:t>
      </w:r>
      <w:r>
        <w:rPr>
          <w:rFonts w:hint="eastAsia"/>
          <w:sz w:val="28"/>
          <w:szCs w:val="28"/>
        </w:rPr>
        <w:t>.</w:t>
      </w:r>
      <w:r>
        <w:rPr>
          <w:sz w:val="28"/>
          <w:szCs w:val="28"/>
        </w:rPr>
        <w:t>6%. The general public budgetary expenditures of Beijing</w:t>
      </w:r>
      <w:r>
        <w:rPr>
          <w:rFonts w:hint="eastAsia"/>
          <w:sz w:val="28"/>
          <w:szCs w:val="28"/>
        </w:rPr>
        <w:t xml:space="preserve"> </w:t>
      </w:r>
      <w:r>
        <w:rPr>
          <w:sz w:val="28"/>
          <w:szCs w:val="28"/>
        </w:rPr>
        <w:t>totaled RMB 746.92 billion, up by 3.7%. Upon full implementation of the national tax and fee reduction policies, the cumulative new amount of tax and fee reductions, tax rebates, tax and fee deferrals in 2022 exceeded RMB 200 billion.</w:t>
      </w:r>
    </w:p>
    <w:p>
      <w:pPr>
        <w:rPr>
          <w:sz w:val="28"/>
          <w:szCs w:val="28"/>
        </w:rPr>
      </w:pPr>
      <w:r>
        <w:rPr>
          <w:b/>
          <w:sz w:val="28"/>
          <w:szCs w:val="28"/>
        </w:rPr>
        <w:t xml:space="preserve">Deposit and </w:t>
      </w:r>
      <w:r>
        <w:rPr>
          <w:rFonts w:hint="eastAsia"/>
          <w:b/>
          <w:sz w:val="28"/>
          <w:szCs w:val="28"/>
        </w:rPr>
        <w:t>L</w:t>
      </w:r>
      <w:r>
        <w:rPr>
          <w:b/>
          <w:sz w:val="28"/>
          <w:szCs w:val="28"/>
        </w:rPr>
        <w:t>oan:</w:t>
      </w:r>
      <w:bookmarkEnd w:id="17"/>
      <w:r>
        <w:rPr>
          <w:rFonts w:hint="eastAsia"/>
          <w:b/>
          <w:sz w:val="28"/>
          <w:szCs w:val="28"/>
        </w:rPr>
        <w:t xml:space="preserve"> </w:t>
      </w:r>
      <w:r>
        <w:rPr>
          <w:sz w:val="28"/>
          <w:szCs w:val="28"/>
        </w:rPr>
        <w:t>By the end of 20</w:t>
      </w:r>
      <w:r>
        <w:rPr>
          <w:rFonts w:hint="eastAsia"/>
          <w:sz w:val="28"/>
          <w:szCs w:val="28"/>
        </w:rPr>
        <w:t>2</w:t>
      </w:r>
      <w:r>
        <w:rPr>
          <w:sz w:val="28"/>
          <w:szCs w:val="28"/>
        </w:rPr>
        <w:t xml:space="preserve">2, the balance of deposits in RMB and foreign currencies in financial institutions of Beijing (including foreign institutions) had registered RMB </w:t>
      </w:r>
      <w:bookmarkStart w:id="18" w:name="OLE_LINK33"/>
      <w:bookmarkStart w:id="19" w:name="OLE_LINK32"/>
      <w:r>
        <w:rPr>
          <w:sz w:val="28"/>
          <w:szCs w:val="28"/>
        </w:rPr>
        <w:t>21,862.88 billion</w:t>
      </w:r>
      <w:bookmarkEnd w:id="18"/>
      <w:bookmarkEnd w:id="19"/>
      <w:r>
        <w:rPr>
          <w:sz w:val="28"/>
          <w:szCs w:val="28"/>
        </w:rPr>
        <w:t xml:space="preserve">, with an increase of RMB </w:t>
      </w:r>
      <w:r>
        <w:rPr>
          <w:rFonts w:hint="eastAsia"/>
          <w:sz w:val="28"/>
          <w:szCs w:val="28"/>
        </w:rPr>
        <w:t>1</w:t>
      </w:r>
      <w:r>
        <w:rPr>
          <w:sz w:val="28"/>
          <w:szCs w:val="28"/>
        </w:rPr>
        <w:t xml:space="preserve">,889.92 billion </w:t>
      </w:r>
      <w:bookmarkStart w:id="20" w:name="OLE_LINK4"/>
      <w:r>
        <w:rPr>
          <w:sz w:val="28"/>
          <w:szCs w:val="28"/>
        </w:rPr>
        <w:t>compared with that at the beginning of year</w:t>
      </w:r>
      <w:bookmarkEnd w:id="20"/>
      <w:r>
        <w:rPr>
          <w:sz w:val="28"/>
          <w:szCs w:val="28"/>
        </w:rPr>
        <w:t>. Year-end balance of loans in RMB and foreign currencies in financial institutions of Beijing (including foreign institutions) hit RMB 9,781.99 billion, with an increase of RMB 878</w:t>
      </w:r>
      <w:r>
        <w:rPr>
          <w:rFonts w:hint="eastAsia"/>
          <w:sz w:val="28"/>
          <w:szCs w:val="28"/>
        </w:rPr>
        <w:t>.</w:t>
      </w:r>
      <w:r>
        <w:rPr>
          <w:sz w:val="28"/>
          <w:szCs w:val="28"/>
        </w:rPr>
        <w:t>69 billion compared with that at the beginning of year.</w:t>
      </w:r>
    </w:p>
    <w:p>
      <w:pPr>
        <w:jc w:val="center"/>
        <w:rPr>
          <w:b/>
          <w:sz w:val="24"/>
        </w:rPr>
      </w:pPr>
      <w:r>
        <w:rPr>
          <w:b/>
          <w:sz w:val="24"/>
        </w:rPr>
        <w:t>Table 9: Deposit and Loan Balance in RMB and Foreign Currencies in Financial Institutions (Including Foreign Institutions) at the End of 20</w:t>
      </w:r>
      <w:r>
        <w:rPr>
          <w:rFonts w:hint="eastAsia"/>
          <w:b/>
          <w:sz w:val="24"/>
        </w:rPr>
        <w:t>2</w:t>
      </w:r>
      <w:r>
        <w:rPr>
          <w:b/>
          <w:sz w:val="24"/>
        </w:rPr>
        <w:t>2</w:t>
      </w:r>
    </w:p>
    <w:p>
      <w:pPr>
        <w:jc w:val="right"/>
        <w:rPr>
          <w:szCs w:val="21"/>
        </w:rPr>
      </w:pPr>
      <w:r>
        <w:rPr>
          <w:szCs w:val="21"/>
        </w:rPr>
        <w:t>Unit: RMB 100 million</w:t>
      </w:r>
    </w:p>
    <w:tbl>
      <w:tblPr>
        <w:tblStyle w:val="14"/>
        <w:tblW w:w="8897"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135"/>
        <w:gridCol w:w="1620"/>
        <w:gridCol w:w="214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135" w:type="dxa"/>
            <w:vAlign w:val="center"/>
          </w:tcPr>
          <w:p>
            <w:pPr>
              <w:widowControl/>
              <w:jc w:val="center"/>
              <w:rPr>
                <w:kern w:val="0"/>
                <w:szCs w:val="21"/>
              </w:rPr>
            </w:pPr>
            <w:r>
              <w:rPr>
                <w:kern w:val="0"/>
                <w:szCs w:val="21"/>
              </w:rPr>
              <w:t>Indicators</w:t>
            </w:r>
          </w:p>
        </w:tc>
        <w:tc>
          <w:tcPr>
            <w:tcW w:w="1620" w:type="dxa"/>
            <w:vAlign w:val="center"/>
          </w:tcPr>
          <w:p>
            <w:pPr>
              <w:widowControl/>
              <w:jc w:val="center"/>
              <w:rPr>
                <w:kern w:val="0"/>
                <w:szCs w:val="21"/>
              </w:rPr>
            </w:pPr>
            <w:r>
              <w:rPr>
                <w:kern w:val="0"/>
                <w:szCs w:val="21"/>
              </w:rPr>
              <w:t>Year-end figure</w:t>
            </w:r>
          </w:p>
        </w:tc>
        <w:tc>
          <w:tcPr>
            <w:tcW w:w="2142" w:type="dxa"/>
            <w:tcBorders>
              <w:right w:val="nil"/>
            </w:tcBorders>
            <w:vAlign w:val="center"/>
          </w:tcPr>
          <w:p>
            <w:pPr>
              <w:widowControl/>
              <w:jc w:val="center"/>
              <w:rPr>
                <w:kern w:val="0"/>
                <w:szCs w:val="21"/>
              </w:rPr>
            </w:pPr>
            <w:r>
              <w:rPr>
                <w:kern w:val="0"/>
                <w:szCs w:val="21"/>
              </w:rPr>
              <w:t>Increased/decreased amount over the year-beginning amount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135" w:type="dxa"/>
            <w:vAlign w:val="center"/>
          </w:tcPr>
          <w:p>
            <w:pPr>
              <w:widowControl/>
              <w:rPr>
                <w:kern w:val="0"/>
                <w:szCs w:val="21"/>
              </w:rPr>
            </w:pPr>
            <w:r>
              <w:rPr>
                <w:kern w:val="0"/>
                <w:szCs w:val="21"/>
              </w:rPr>
              <w:t xml:space="preserve">Total Deposit Balance </w:t>
            </w:r>
          </w:p>
        </w:tc>
        <w:tc>
          <w:tcPr>
            <w:tcW w:w="1620" w:type="dxa"/>
            <w:vAlign w:val="center"/>
          </w:tcPr>
          <w:p>
            <w:pPr>
              <w:keepNext w:val="0"/>
              <w:keepLines w:val="0"/>
              <w:pageBreakBefore w:val="0"/>
              <w:widowControl w:val="0"/>
              <w:kinsoku/>
              <w:wordWrap/>
              <w:overflowPunct/>
              <w:topLinePunct w:val="0"/>
              <w:autoSpaceDE/>
              <w:autoSpaceDN/>
              <w:bidi w:val="0"/>
              <w:adjustRightInd/>
              <w:snapToGrid/>
              <w:ind w:right="105" w:rightChars="50"/>
              <w:jc w:val="right"/>
              <w:textAlignment w:val="auto"/>
              <w:rPr>
                <w:szCs w:val="21"/>
              </w:rPr>
            </w:pPr>
            <w:r>
              <w:rPr>
                <w:szCs w:val="21"/>
              </w:rPr>
              <w:t>218628.8</w:t>
            </w:r>
          </w:p>
        </w:tc>
        <w:tc>
          <w:tcPr>
            <w:tcW w:w="2142" w:type="dxa"/>
            <w:tcBorders>
              <w:right w:val="nil"/>
            </w:tcBorders>
            <w:vAlign w:val="center"/>
          </w:tcPr>
          <w:p>
            <w:pPr>
              <w:keepNext w:val="0"/>
              <w:keepLines w:val="0"/>
              <w:pageBreakBefore w:val="0"/>
              <w:widowControl w:val="0"/>
              <w:kinsoku/>
              <w:wordWrap/>
              <w:overflowPunct/>
              <w:topLinePunct w:val="0"/>
              <w:autoSpaceDE/>
              <w:autoSpaceDN/>
              <w:bidi w:val="0"/>
              <w:adjustRightInd/>
              <w:snapToGrid/>
              <w:ind w:right="105" w:rightChars="50"/>
              <w:jc w:val="right"/>
              <w:textAlignment w:val="auto"/>
              <w:rPr>
                <w:szCs w:val="21"/>
              </w:rPr>
            </w:pPr>
            <w:r>
              <w:rPr>
                <w:szCs w:val="21"/>
              </w:rPr>
              <w:t>18899.2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135" w:type="dxa"/>
            <w:vAlign w:val="center"/>
          </w:tcPr>
          <w:p>
            <w:pPr>
              <w:widowControl/>
              <w:ind w:firstLine="140" w:firstLineChars="67"/>
              <w:rPr>
                <w:kern w:val="0"/>
                <w:szCs w:val="21"/>
              </w:rPr>
            </w:pPr>
            <w:r>
              <w:rPr>
                <w:kern w:val="0"/>
                <w:szCs w:val="21"/>
              </w:rPr>
              <w:t>Of which: Deposits in RMB</w:t>
            </w:r>
          </w:p>
        </w:tc>
        <w:tc>
          <w:tcPr>
            <w:tcW w:w="1620" w:type="dxa"/>
            <w:vAlign w:val="center"/>
          </w:tcPr>
          <w:p>
            <w:pPr>
              <w:keepNext w:val="0"/>
              <w:keepLines w:val="0"/>
              <w:pageBreakBefore w:val="0"/>
              <w:widowControl w:val="0"/>
              <w:kinsoku/>
              <w:wordWrap/>
              <w:overflowPunct/>
              <w:topLinePunct w:val="0"/>
              <w:autoSpaceDE/>
              <w:autoSpaceDN/>
              <w:bidi w:val="0"/>
              <w:adjustRightInd/>
              <w:snapToGrid/>
              <w:ind w:right="105" w:rightChars="50"/>
              <w:jc w:val="right"/>
              <w:textAlignment w:val="auto"/>
              <w:rPr>
                <w:szCs w:val="21"/>
              </w:rPr>
            </w:pPr>
            <w:r>
              <w:rPr>
                <w:szCs w:val="21"/>
              </w:rPr>
              <w:t>212446.7</w:t>
            </w:r>
          </w:p>
        </w:tc>
        <w:tc>
          <w:tcPr>
            <w:tcW w:w="2142" w:type="dxa"/>
            <w:tcBorders>
              <w:right w:val="nil"/>
            </w:tcBorders>
            <w:vAlign w:val="center"/>
          </w:tcPr>
          <w:p>
            <w:pPr>
              <w:keepNext w:val="0"/>
              <w:keepLines w:val="0"/>
              <w:pageBreakBefore w:val="0"/>
              <w:widowControl w:val="0"/>
              <w:kinsoku/>
              <w:wordWrap/>
              <w:overflowPunct/>
              <w:topLinePunct w:val="0"/>
              <w:autoSpaceDE/>
              <w:autoSpaceDN/>
              <w:bidi w:val="0"/>
              <w:adjustRightInd/>
              <w:snapToGrid/>
              <w:ind w:right="105" w:rightChars="50"/>
              <w:jc w:val="right"/>
              <w:textAlignment w:val="auto"/>
              <w:rPr>
                <w:szCs w:val="21"/>
              </w:rPr>
            </w:pPr>
            <w:r>
              <w:rPr>
                <w:szCs w:val="21"/>
              </w:rPr>
              <w:t>20354.4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135" w:type="dxa"/>
            <w:vAlign w:val="center"/>
          </w:tcPr>
          <w:p>
            <w:pPr>
              <w:widowControl/>
              <w:ind w:firstLine="140" w:firstLineChars="67"/>
              <w:rPr>
                <w:kern w:val="0"/>
                <w:szCs w:val="21"/>
              </w:rPr>
            </w:pPr>
            <w:r>
              <w:rPr>
                <w:kern w:val="0"/>
                <w:szCs w:val="21"/>
              </w:rPr>
              <w:t>Of which: Domestic Deposits</w:t>
            </w:r>
          </w:p>
        </w:tc>
        <w:tc>
          <w:tcPr>
            <w:tcW w:w="1620" w:type="dxa"/>
            <w:vAlign w:val="center"/>
          </w:tcPr>
          <w:p>
            <w:pPr>
              <w:keepNext w:val="0"/>
              <w:keepLines w:val="0"/>
              <w:pageBreakBefore w:val="0"/>
              <w:widowControl w:val="0"/>
              <w:kinsoku/>
              <w:wordWrap/>
              <w:overflowPunct/>
              <w:topLinePunct w:val="0"/>
              <w:autoSpaceDE/>
              <w:autoSpaceDN/>
              <w:bidi w:val="0"/>
              <w:adjustRightInd/>
              <w:snapToGrid/>
              <w:ind w:right="105" w:rightChars="50"/>
              <w:jc w:val="right"/>
              <w:textAlignment w:val="auto"/>
              <w:rPr>
                <w:szCs w:val="21"/>
              </w:rPr>
            </w:pPr>
            <w:r>
              <w:rPr>
                <w:szCs w:val="21"/>
              </w:rPr>
              <w:t>216495.2</w:t>
            </w:r>
          </w:p>
        </w:tc>
        <w:tc>
          <w:tcPr>
            <w:tcW w:w="2142" w:type="dxa"/>
            <w:tcBorders>
              <w:right w:val="nil"/>
            </w:tcBorders>
            <w:vAlign w:val="center"/>
          </w:tcPr>
          <w:p>
            <w:pPr>
              <w:keepNext w:val="0"/>
              <w:keepLines w:val="0"/>
              <w:pageBreakBefore w:val="0"/>
              <w:widowControl w:val="0"/>
              <w:kinsoku/>
              <w:wordWrap/>
              <w:overflowPunct/>
              <w:topLinePunct w:val="0"/>
              <w:autoSpaceDE/>
              <w:autoSpaceDN/>
              <w:bidi w:val="0"/>
              <w:adjustRightInd/>
              <w:snapToGrid/>
              <w:ind w:right="105" w:rightChars="50"/>
              <w:jc w:val="right"/>
              <w:textAlignment w:val="auto"/>
              <w:rPr>
                <w:szCs w:val="21"/>
              </w:rPr>
            </w:pPr>
            <w:r>
              <w:rPr>
                <w:szCs w:val="21"/>
              </w:rPr>
              <w:t>20110.4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135" w:type="dxa"/>
            <w:vAlign w:val="center"/>
          </w:tcPr>
          <w:p>
            <w:pPr>
              <w:widowControl/>
              <w:ind w:firstLine="283" w:firstLineChars="135"/>
              <w:rPr>
                <w:kern w:val="0"/>
                <w:szCs w:val="21"/>
              </w:rPr>
            </w:pPr>
            <w:r>
              <w:rPr>
                <w:kern w:val="0"/>
                <w:szCs w:val="21"/>
              </w:rPr>
              <w:t>Of which: Household Deposits</w:t>
            </w:r>
          </w:p>
        </w:tc>
        <w:tc>
          <w:tcPr>
            <w:tcW w:w="1620" w:type="dxa"/>
            <w:vAlign w:val="center"/>
          </w:tcPr>
          <w:p>
            <w:pPr>
              <w:keepNext w:val="0"/>
              <w:keepLines w:val="0"/>
              <w:pageBreakBefore w:val="0"/>
              <w:widowControl w:val="0"/>
              <w:kinsoku/>
              <w:wordWrap/>
              <w:overflowPunct/>
              <w:topLinePunct w:val="0"/>
              <w:autoSpaceDE/>
              <w:autoSpaceDN/>
              <w:bidi w:val="0"/>
              <w:adjustRightInd/>
              <w:snapToGrid/>
              <w:ind w:right="105" w:rightChars="50"/>
              <w:jc w:val="right"/>
              <w:textAlignment w:val="auto"/>
              <w:rPr>
                <w:szCs w:val="21"/>
              </w:rPr>
            </w:pPr>
            <w:r>
              <w:rPr>
                <w:szCs w:val="21"/>
              </w:rPr>
              <w:t>58621.4</w:t>
            </w:r>
          </w:p>
        </w:tc>
        <w:tc>
          <w:tcPr>
            <w:tcW w:w="2142" w:type="dxa"/>
            <w:tcBorders>
              <w:right w:val="nil"/>
            </w:tcBorders>
            <w:vAlign w:val="center"/>
          </w:tcPr>
          <w:p>
            <w:pPr>
              <w:keepNext w:val="0"/>
              <w:keepLines w:val="0"/>
              <w:pageBreakBefore w:val="0"/>
              <w:widowControl w:val="0"/>
              <w:kinsoku/>
              <w:wordWrap/>
              <w:overflowPunct/>
              <w:topLinePunct w:val="0"/>
              <w:autoSpaceDE/>
              <w:autoSpaceDN/>
              <w:bidi w:val="0"/>
              <w:adjustRightInd/>
              <w:snapToGrid/>
              <w:ind w:right="105" w:rightChars="50"/>
              <w:jc w:val="right"/>
              <w:textAlignment w:val="auto"/>
              <w:rPr>
                <w:szCs w:val="21"/>
              </w:rPr>
            </w:pPr>
            <w:r>
              <w:rPr>
                <w:szCs w:val="21"/>
              </w:rPr>
              <w:t>9877.0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135" w:type="dxa"/>
            <w:vAlign w:val="center"/>
          </w:tcPr>
          <w:p>
            <w:pPr>
              <w:widowControl/>
              <w:adjustRightInd w:val="0"/>
              <w:snapToGrid w:val="0"/>
              <w:ind w:left="1365" w:leftChars="650" w:firstLine="0" w:firstLineChars="0"/>
              <w:rPr>
                <w:kern w:val="0"/>
                <w:szCs w:val="21"/>
              </w:rPr>
            </w:pPr>
            <w:r>
              <w:rPr>
                <w:kern w:val="0"/>
                <w:szCs w:val="21"/>
              </w:rPr>
              <w:t>Non-financial</w:t>
            </w:r>
            <w:r>
              <w:rPr>
                <w:rFonts w:hint="eastAsia"/>
                <w:kern w:val="0"/>
                <w:szCs w:val="21"/>
              </w:rPr>
              <w:t xml:space="preserve"> </w:t>
            </w:r>
            <w:r>
              <w:rPr>
                <w:kern w:val="0"/>
                <w:szCs w:val="21"/>
              </w:rPr>
              <w:t>enterprise Deposits</w:t>
            </w:r>
          </w:p>
        </w:tc>
        <w:tc>
          <w:tcPr>
            <w:tcW w:w="1620" w:type="dxa"/>
            <w:vAlign w:val="center"/>
          </w:tcPr>
          <w:p>
            <w:pPr>
              <w:keepNext w:val="0"/>
              <w:keepLines w:val="0"/>
              <w:pageBreakBefore w:val="0"/>
              <w:widowControl w:val="0"/>
              <w:kinsoku/>
              <w:wordWrap/>
              <w:overflowPunct/>
              <w:topLinePunct w:val="0"/>
              <w:autoSpaceDE/>
              <w:autoSpaceDN/>
              <w:bidi w:val="0"/>
              <w:adjustRightInd/>
              <w:snapToGrid/>
              <w:ind w:right="105" w:rightChars="50"/>
              <w:jc w:val="right"/>
              <w:textAlignment w:val="auto"/>
              <w:rPr>
                <w:szCs w:val="21"/>
              </w:rPr>
            </w:pPr>
            <w:r>
              <w:rPr>
                <w:szCs w:val="21"/>
              </w:rPr>
              <w:t>70888.4</w:t>
            </w:r>
          </w:p>
        </w:tc>
        <w:tc>
          <w:tcPr>
            <w:tcW w:w="2142" w:type="dxa"/>
            <w:tcBorders>
              <w:right w:val="nil"/>
            </w:tcBorders>
            <w:vAlign w:val="center"/>
          </w:tcPr>
          <w:p>
            <w:pPr>
              <w:keepNext w:val="0"/>
              <w:keepLines w:val="0"/>
              <w:pageBreakBefore w:val="0"/>
              <w:widowControl w:val="0"/>
              <w:kinsoku/>
              <w:wordWrap/>
              <w:overflowPunct/>
              <w:topLinePunct w:val="0"/>
              <w:autoSpaceDE/>
              <w:autoSpaceDN/>
              <w:bidi w:val="0"/>
              <w:adjustRightInd/>
              <w:snapToGrid/>
              <w:ind w:right="105" w:rightChars="50"/>
              <w:jc w:val="right"/>
              <w:textAlignment w:val="auto"/>
              <w:rPr>
                <w:szCs w:val="21"/>
              </w:rPr>
            </w:pPr>
            <w:r>
              <w:rPr>
                <w:szCs w:val="21"/>
              </w:rPr>
              <w:t>2100.7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135" w:type="dxa"/>
            <w:vAlign w:val="center"/>
          </w:tcPr>
          <w:p>
            <w:pPr>
              <w:widowControl/>
              <w:adjustRightInd w:val="0"/>
              <w:snapToGrid w:val="0"/>
              <w:rPr>
                <w:kern w:val="0"/>
                <w:szCs w:val="21"/>
              </w:rPr>
            </w:pPr>
            <w:r>
              <w:rPr>
                <w:kern w:val="0"/>
                <w:szCs w:val="21"/>
              </w:rPr>
              <w:t>Total Loan Balance</w:t>
            </w:r>
          </w:p>
        </w:tc>
        <w:tc>
          <w:tcPr>
            <w:tcW w:w="1620" w:type="dxa"/>
            <w:vAlign w:val="center"/>
          </w:tcPr>
          <w:p>
            <w:pPr>
              <w:keepNext w:val="0"/>
              <w:keepLines w:val="0"/>
              <w:pageBreakBefore w:val="0"/>
              <w:widowControl w:val="0"/>
              <w:kinsoku/>
              <w:wordWrap/>
              <w:overflowPunct/>
              <w:topLinePunct w:val="0"/>
              <w:autoSpaceDE/>
              <w:autoSpaceDN/>
              <w:bidi w:val="0"/>
              <w:adjustRightInd/>
              <w:snapToGrid/>
              <w:ind w:right="105" w:rightChars="50"/>
              <w:jc w:val="right"/>
              <w:textAlignment w:val="auto"/>
              <w:rPr>
                <w:szCs w:val="21"/>
              </w:rPr>
            </w:pPr>
            <w:r>
              <w:rPr>
                <w:szCs w:val="21"/>
              </w:rPr>
              <w:t>97819.9</w:t>
            </w:r>
          </w:p>
        </w:tc>
        <w:tc>
          <w:tcPr>
            <w:tcW w:w="2142" w:type="dxa"/>
            <w:tcBorders>
              <w:right w:val="nil"/>
            </w:tcBorders>
            <w:vAlign w:val="center"/>
          </w:tcPr>
          <w:p>
            <w:pPr>
              <w:keepNext w:val="0"/>
              <w:keepLines w:val="0"/>
              <w:pageBreakBefore w:val="0"/>
              <w:widowControl w:val="0"/>
              <w:kinsoku/>
              <w:wordWrap/>
              <w:overflowPunct/>
              <w:topLinePunct w:val="0"/>
              <w:autoSpaceDE/>
              <w:autoSpaceDN/>
              <w:bidi w:val="0"/>
              <w:adjustRightInd/>
              <w:snapToGrid/>
              <w:ind w:right="105" w:rightChars="50"/>
              <w:jc w:val="right"/>
              <w:textAlignment w:val="auto"/>
              <w:rPr>
                <w:szCs w:val="21"/>
              </w:rPr>
            </w:pPr>
            <w:r>
              <w:rPr>
                <w:szCs w:val="21"/>
              </w:rPr>
              <w:t>8786.9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135" w:type="dxa"/>
            <w:vAlign w:val="center"/>
          </w:tcPr>
          <w:p>
            <w:pPr>
              <w:widowControl/>
              <w:adjustRightInd w:val="0"/>
              <w:snapToGrid w:val="0"/>
              <w:ind w:firstLine="140" w:firstLineChars="67"/>
              <w:rPr>
                <w:kern w:val="0"/>
                <w:szCs w:val="21"/>
              </w:rPr>
            </w:pPr>
            <w:r>
              <w:rPr>
                <w:kern w:val="0"/>
                <w:szCs w:val="21"/>
              </w:rPr>
              <w:t>Of which: Loans in RMB</w:t>
            </w:r>
          </w:p>
        </w:tc>
        <w:tc>
          <w:tcPr>
            <w:tcW w:w="1620" w:type="dxa"/>
            <w:vAlign w:val="center"/>
          </w:tcPr>
          <w:p>
            <w:pPr>
              <w:keepNext w:val="0"/>
              <w:keepLines w:val="0"/>
              <w:pageBreakBefore w:val="0"/>
              <w:widowControl w:val="0"/>
              <w:kinsoku/>
              <w:wordWrap/>
              <w:overflowPunct/>
              <w:topLinePunct w:val="0"/>
              <w:autoSpaceDE/>
              <w:autoSpaceDN/>
              <w:bidi w:val="0"/>
              <w:adjustRightInd/>
              <w:snapToGrid/>
              <w:ind w:right="105" w:rightChars="50"/>
              <w:jc w:val="right"/>
              <w:textAlignment w:val="auto"/>
              <w:rPr>
                <w:szCs w:val="21"/>
              </w:rPr>
            </w:pPr>
            <w:r>
              <w:rPr>
                <w:szCs w:val="21"/>
              </w:rPr>
              <w:t>95496.9</w:t>
            </w:r>
          </w:p>
        </w:tc>
        <w:tc>
          <w:tcPr>
            <w:tcW w:w="2142" w:type="dxa"/>
            <w:tcBorders>
              <w:right w:val="nil"/>
            </w:tcBorders>
            <w:vAlign w:val="center"/>
          </w:tcPr>
          <w:p>
            <w:pPr>
              <w:keepNext w:val="0"/>
              <w:keepLines w:val="0"/>
              <w:pageBreakBefore w:val="0"/>
              <w:widowControl w:val="0"/>
              <w:kinsoku/>
              <w:wordWrap/>
              <w:overflowPunct/>
              <w:topLinePunct w:val="0"/>
              <w:autoSpaceDE/>
              <w:autoSpaceDN/>
              <w:bidi w:val="0"/>
              <w:adjustRightInd/>
              <w:snapToGrid/>
              <w:ind w:right="105" w:rightChars="50"/>
              <w:jc w:val="right"/>
              <w:textAlignment w:val="auto"/>
              <w:rPr>
                <w:szCs w:val="21"/>
              </w:rPr>
            </w:pPr>
            <w:r>
              <w:rPr>
                <w:szCs w:val="21"/>
              </w:rPr>
              <w:t>9419.4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135" w:type="dxa"/>
            <w:vAlign w:val="center"/>
          </w:tcPr>
          <w:p>
            <w:pPr>
              <w:widowControl/>
              <w:adjustRightInd w:val="0"/>
              <w:snapToGrid w:val="0"/>
              <w:ind w:firstLine="140" w:firstLineChars="67"/>
              <w:rPr>
                <w:kern w:val="0"/>
                <w:szCs w:val="21"/>
              </w:rPr>
            </w:pPr>
            <w:r>
              <w:rPr>
                <w:kern w:val="0"/>
                <w:szCs w:val="21"/>
              </w:rPr>
              <w:t>Of which: Domestic Loans</w:t>
            </w:r>
          </w:p>
        </w:tc>
        <w:tc>
          <w:tcPr>
            <w:tcW w:w="1620" w:type="dxa"/>
            <w:vAlign w:val="center"/>
          </w:tcPr>
          <w:p>
            <w:pPr>
              <w:keepNext w:val="0"/>
              <w:keepLines w:val="0"/>
              <w:pageBreakBefore w:val="0"/>
              <w:widowControl w:val="0"/>
              <w:kinsoku/>
              <w:wordWrap/>
              <w:overflowPunct/>
              <w:topLinePunct w:val="0"/>
              <w:autoSpaceDE/>
              <w:autoSpaceDN/>
              <w:bidi w:val="0"/>
              <w:adjustRightInd/>
              <w:snapToGrid/>
              <w:ind w:right="105" w:rightChars="50"/>
              <w:jc w:val="right"/>
              <w:textAlignment w:val="auto"/>
              <w:rPr>
                <w:szCs w:val="21"/>
              </w:rPr>
            </w:pPr>
            <w:r>
              <w:rPr>
                <w:szCs w:val="21"/>
              </w:rPr>
              <w:t>96187.0</w:t>
            </w:r>
          </w:p>
        </w:tc>
        <w:tc>
          <w:tcPr>
            <w:tcW w:w="2142" w:type="dxa"/>
            <w:tcBorders>
              <w:right w:val="nil"/>
            </w:tcBorders>
            <w:vAlign w:val="center"/>
          </w:tcPr>
          <w:p>
            <w:pPr>
              <w:keepNext w:val="0"/>
              <w:keepLines w:val="0"/>
              <w:pageBreakBefore w:val="0"/>
              <w:widowControl w:val="0"/>
              <w:kinsoku/>
              <w:wordWrap/>
              <w:overflowPunct/>
              <w:topLinePunct w:val="0"/>
              <w:autoSpaceDE/>
              <w:autoSpaceDN/>
              <w:bidi w:val="0"/>
              <w:adjustRightInd/>
              <w:snapToGrid/>
              <w:ind w:right="105" w:rightChars="50"/>
              <w:jc w:val="right"/>
              <w:textAlignment w:val="auto"/>
              <w:rPr>
                <w:szCs w:val="21"/>
              </w:rPr>
            </w:pPr>
            <w:r>
              <w:rPr>
                <w:szCs w:val="21"/>
              </w:rPr>
              <w:t>8960.8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135" w:type="dxa"/>
            <w:vAlign w:val="center"/>
          </w:tcPr>
          <w:p>
            <w:pPr>
              <w:widowControl/>
              <w:adjustRightInd w:val="0"/>
              <w:snapToGrid w:val="0"/>
              <w:ind w:firstLine="283" w:firstLineChars="135"/>
              <w:rPr>
                <w:kern w:val="0"/>
                <w:szCs w:val="21"/>
              </w:rPr>
            </w:pPr>
            <w:r>
              <w:rPr>
                <w:kern w:val="0"/>
                <w:szCs w:val="21"/>
              </w:rPr>
              <w:t>Of which: Household</w:t>
            </w:r>
            <w:r>
              <w:rPr>
                <w:rFonts w:hint="eastAsia"/>
                <w:kern w:val="0"/>
                <w:szCs w:val="21"/>
              </w:rPr>
              <w:t xml:space="preserve"> </w:t>
            </w:r>
            <w:r>
              <w:rPr>
                <w:kern w:val="0"/>
                <w:szCs w:val="21"/>
              </w:rPr>
              <w:t>Consumption Loans</w:t>
            </w:r>
          </w:p>
        </w:tc>
        <w:tc>
          <w:tcPr>
            <w:tcW w:w="1620" w:type="dxa"/>
            <w:vAlign w:val="center"/>
          </w:tcPr>
          <w:p>
            <w:pPr>
              <w:keepNext w:val="0"/>
              <w:keepLines w:val="0"/>
              <w:pageBreakBefore w:val="0"/>
              <w:widowControl w:val="0"/>
              <w:kinsoku/>
              <w:wordWrap/>
              <w:overflowPunct/>
              <w:topLinePunct w:val="0"/>
              <w:autoSpaceDE/>
              <w:autoSpaceDN/>
              <w:bidi w:val="0"/>
              <w:adjustRightInd/>
              <w:snapToGrid/>
              <w:ind w:right="105" w:rightChars="50"/>
              <w:jc w:val="right"/>
              <w:textAlignment w:val="auto"/>
              <w:rPr>
                <w:szCs w:val="21"/>
              </w:rPr>
            </w:pPr>
            <w:r>
              <w:rPr>
                <w:szCs w:val="21"/>
              </w:rPr>
              <w:t>18701.7</w:t>
            </w:r>
          </w:p>
        </w:tc>
        <w:tc>
          <w:tcPr>
            <w:tcW w:w="2142" w:type="dxa"/>
            <w:tcBorders>
              <w:right w:val="nil"/>
            </w:tcBorders>
            <w:vAlign w:val="center"/>
          </w:tcPr>
          <w:p>
            <w:pPr>
              <w:keepNext w:val="0"/>
              <w:keepLines w:val="0"/>
              <w:pageBreakBefore w:val="0"/>
              <w:widowControl w:val="0"/>
              <w:kinsoku/>
              <w:wordWrap/>
              <w:overflowPunct/>
              <w:topLinePunct w:val="0"/>
              <w:autoSpaceDE/>
              <w:autoSpaceDN/>
              <w:bidi w:val="0"/>
              <w:adjustRightInd/>
              <w:snapToGrid/>
              <w:ind w:right="105" w:rightChars="50"/>
              <w:jc w:val="right"/>
              <w:textAlignment w:val="auto"/>
              <w:rPr>
                <w:szCs w:val="21"/>
              </w:rPr>
            </w:pPr>
            <w:r>
              <w:rPr>
                <w:rFonts w:hint="eastAsia"/>
                <w:szCs w:val="21"/>
              </w:rPr>
              <w:t>1</w:t>
            </w:r>
            <w:r>
              <w:rPr>
                <w:szCs w:val="21"/>
              </w:rPr>
              <w:t>177.1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135" w:type="dxa"/>
            <w:vAlign w:val="center"/>
          </w:tcPr>
          <w:p>
            <w:pPr>
              <w:widowControl/>
              <w:adjustRightInd w:val="0"/>
              <w:snapToGrid w:val="0"/>
              <w:ind w:firstLine="283" w:firstLineChars="135"/>
              <w:rPr>
                <w:kern w:val="0"/>
                <w:szCs w:val="21"/>
              </w:rPr>
            </w:pPr>
            <w:r>
              <w:rPr>
                <w:kern w:val="0"/>
                <w:szCs w:val="21"/>
              </w:rPr>
              <w:t>Of which: Short-term Loans</w:t>
            </w:r>
          </w:p>
        </w:tc>
        <w:tc>
          <w:tcPr>
            <w:tcW w:w="1620" w:type="dxa"/>
            <w:vAlign w:val="center"/>
          </w:tcPr>
          <w:p>
            <w:pPr>
              <w:keepNext w:val="0"/>
              <w:keepLines w:val="0"/>
              <w:pageBreakBefore w:val="0"/>
              <w:widowControl w:val="0"/>
              <w:kinsoku/>
              <w:wordWrap/>
              <w:overflowPunct/>
              <w:topLinePunct w:val="0"/>
              <w:autoSpaceDE/>
              <w:autoSpaceDN/>
              <w:bidi w:val="0"/>
              <w:adjustRightInd/>
              <w:snapToGrid/>
              <w:ind w:right="105" w:rightChars="50"/>
              <w:jc w:val="right"/>
              <w:textAlignment w:val="auto"/>
              <w:rPr>
                <w:szCs w:val="21"/>
              </w:rPr>
            </w:pPr>
            <w:r>
              <w:rPr>
                <w:szCs w:val="21"/>
              </w:rPr>
              <w:t>28437.2</w:t>
            </w:r>
          </w:p>
        </w:tc>
        <w:tc>
          <w:tcPr>
            <w:tcW w:w="2142" w:type="dxa"/>
            <w:tcBorders>
              <w:right w:val="nil"/>
            </w:tcBorders>
            <w:vAlign w:val="center"/>
          </w:tcPr>
          <w:p>
            <w:pPr>
              <w:keepNext w:val="0"/>
              <w:keepLines w:val="0"/>
              <w:pageBreakBefore w:val="0"/>
              <w:widowControl w:val="0"/>
              <w:kinsoku/>
              <w:wordWrap/>
              <w:overflowPunct/>
              <w:topLinePunct w:val="0"/>
              <w:autoSpaceDE/>
              <w:autoSpaceDN/>
              <w:bidi w:val="0"/>
              <w:adjustRightInd/>
              <w:snapToGrid/>
              <w:ind w:right="105" w:rightChars="50"/>
              <w:jc w:val="right"/>
              <w:textAlignment w:val="auto"/>
              <w:rPr>
                <w:szCs w:val="21"/>
              </w:rPr>
            </w:pPr>
            <w:r>
              <w:rPr>
                <w:szCs w:val="21"/>
              </w:rPr>
              <w:t>2246.7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135" w:type="dxa"/>
            <w:vAlign w:val="center"/>
          </w:tcPr>
          <w:p>
            <w:pPr>
              <w:widowControl/>
              <w:adjustRightInd w:val="0"/>
              <w:snapToGrid w:val="0"/>
              <w:ind w:firstLine="1134" w:firstLineChars="540"/>
              <w:rPr>
                <w:kern w:val="0"/>
                <w:szCs w:val="21"/>
              </w:rPr>
            </w:pPr>
            <w:r>
              <w:rPr>
                <w:kern w:val="0"/>
                <w:szCs w:val="21"/>
              </w:rPr>
              <w:t>Medium-and Long-term Loans</w:t>
            </w:r>
          </w:p>
        </w:tc>
        <w:tc>
          <w:tcPr>
            <w:tcW w:w="1620" w:type="dxa"/>
            <w:vAlign w:val="center"/>
          </w:tcPr>
          <w:p>
            <w:pPr>
              <w:keepNext w:val="0"/>
              <w:keepLines w:val="0"/>
              <w:pageBreakBefore w:val="0"/>
              <w:widowControl w:val="0"/>
              <w:kinsoku/>
              <w:wordWrap/>
              <w:overflowPunct/>
              <w:topLinePunct w:val="0"/>
              <w:autoSpaceDE/>
              <w:autoSpaceDN/>
              <w:bidi w:val="0"/>
              <w:adjustRightInd/>
              <w:snapToGrid/>
              <w:ind w:right="105" w:rightChars="50"/>
              <w:jc w:val="right"/>
              <w:textAlignment w:val="auto"/>
              <w:rPr>
                <w:szCs w:val="21"/>
              </w:rPr>
            </w:pPr>
            <w:r>
              <w:rPr>
                <w:szCs w:val="21"/>
              </w:rPr>
              <w:t>61986.8</w:t>
            </w:r>
          </w:p>
        </w:tc>
        <w:tc>
          <w:tcPr>
            <w:tcW w:w="2142" w:type="dxa"/>
            <w:tcBorders>
              <w:right w:val="nil"/>
            </w:tcBorders>
            <w:vAlign w:val="center"/>
          </w:tcPr>
          <w:p>
            <w:pPr>
              <w:keepNext w:val="0"/>
              <w:keepLines w:val="0"/>
              <w:pageBreakBefore w:val="0"/>
              <w:widowControl w:val="0"/>
              <w:kinsoku/>
              <w:wordWrap/>
              <w:overflowPunct/>
              <w:topLinePunct w:val="0"/>
              <w:autoSpaceDE/>
              <w:autoSpaceDN/>
              <w:bidi w:val="0"/>
              <w:adjustRightInd/>
              <w:snapToGrid/>
              <w:ind w:right="105" w:rightChars="50"/>
              <w:jc w:val="right"/>
              <w:textAlignment w:val="auto"/>
              <w:rPr>
                <w:szCs w:val="21"/>
              </w:rPr>
            </w:pPr>
            <w:r>
              <w:rPr>
                <w:szCs w:val="21"/>
              </w:rPr>
              <w:t>5950.0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135" w:type="dxa"/>
            <w:vAlign w:val="center"/>
          </w:tcPr>
          <w:p>
            <w:pPr>
              <w:widowControl/>
              <w:adjustRightInd w:val="0"/>
              <w:snapToGrid w:val="0"/>
              <w:ind w:firstLine="1134" w:firstLineChars="540"/>
              <w:rPr>
                <w:kern w:val="0"/>
                <w:szCs w:val="21"/>
              </w:rPr>
            </w:pPr>
            <w:r>
              <w:rPr>
                <w:kern w:val="0"/>
                <w:szCs w:val="21"/>
              </w:rPr>
              <w:t>Notes Financing</w:t>
            </w:r>
          </w:p>
        </w:tc>
        <w:tc>
          <w:tcPr>
            <w:tcW w:w="1620" w:type="dxa"/>
            <w:vAlign w:val="center"/>
          </w:tcPr>
          <w:p>
            <w:pPr>
              <w:keepNext w:val="0"/>
              <w:keepLines w:val="0"/>
              <w:pageBreakBefore w:val="0"/>
              <w:widowControl w:val="0"/>
              <w:kinsoku/>
              <w:wordWrap/>
              <w:overflowPunct/>
              <w:topLinePunct w:val="0"/>
              <w:autoSpaceDE/>
              <w:autoSpaceDN/>
              <w:bidi w:val="0"/>
              <w:adjustRightInd/>
              <w:snapToGrid/>
              <w:ind w:right="105" w:rightChars="50"/>
              <w:jc w:val="right"/>
              <w:textAlignment w:val="auto"/>
              <w:rPr>
                <w:szCs w:val="21"/>
              </w:rPr>
            </w:pPr>
            <w:r>
              <w:rPr>
                <w:szCs w:val="21"/>
              </w:rPr>
              <w:t>4647.2</w:t>
            </w:r>
          </w:p>
        </w:tc>
        <w:tc>
          <w:tcPr>
            <w:tcW w:w="2142" w:type="dxa"/>
            <w:tcBorders>
              <w:right w:val="nil"/>
            </w:tcBorders>
            <w:vAlign w:val="center"/>
          </w:tcPr>
          <w:p>
            <w:pPr>
              <w:keepNext w:val="0"/>
              <w:keepLines w:val="0"/>
              <w:pageBreakBefore w:val="0"/>
              <w:widowControl w:val="0"/>
              <w:kinsoku/>
              <w:wordWrap/>
              <w:overflowPunct/>
              <w:topLinePunct w:val="0"/>
              <w:autoSpaceDE/>
              <w:autoSpaceDN/>
              <w:bidi w:val="0"/>
              <w:adjustRightInd/>
              <w:snapToGrid/>
              <w:ind w:right="105" w:rightChars="50"/>
              <w:jc w:val="right"/>
              <w:textAlignment w:val="auto"/>
              <w:rPr>
                <w:szCs w:val="21"/>
              </w:rPr>
            </w:pPr>
            <w:r>
              <w:rPr>
                <w:rFonts w:hint="eastAsia"/>
                <w:szCs w:val="21"/>
              </w:rPr>
              <w:t>3</w:t>
            </w:r>
            <w:r>
              <w:rPr>
                <w:szCs w:val="21"/>
              </w:rPr>
              <w:t>61.3</w:t>
            </w:r>
          </w:p>
        </w:tc>
      </w:tr>
    </w:tbl>
    <w:p>
      <w:pPr>
        <w:rPr>
          <w:color w:val="auto"/>
          <w:sz w:val="28"/>
          <w:szCs w:val="28"/>
          <w:shd w:val="clear" w:color="auto" w:fill="auto"/>
        </w:rPr>
      </w:pPr>
      <w:r>
        <w:rPr>
          <w:b/>
          <w:sz w:val="28"/>
          <w:szCs w:val="28"/>
        </w:rPr>
        <w:t xml:space="preserve">Securities: </w:t>
      </w:r>
      <w:r>
        <w:rPr>
          <w:rFonts w:hint="eastAsia"/>
          <w:sz w:val="28"/>
          <w:szCs w:val="28"/>
        </w:rPr>
        <w:t>T</w:t>
      </w:r>
      <w:r>
        <w:rPr>
          <w:sz w:val="28"/>
          <w:szCs w:val="28"/>
        </w:rPr>
        <w:t>he trading volume of securities in 20</w:t>
      </w:r>
      <w:r>
        <w:rPr>
          <w:rFonts w:hint="eastAsia"/>
          <w:sz w:val="28"/>
          <w:szCs w:val="28"/>
        </w:rPr>
        <w:t>2</w:t>
      </w:r>
      <w:r>
        <w:rPr>
          <w:sz w:val="28"/>
          <w:szCs w:val="28"/>
        </w:rPr>
        <w:t xml:space="preserve">2 stood at RMB 184.6 trillion, up by 2.5% over the previous year. Of which, the trading volume of stocks amounted to RMB 40.2 trillion, down by 6.4%; trading volume of </w:t>
      </w:r>
      <w:r>
        <w:rPr>
          <w:rFonts w:hint="eastAsia"/>
          <w:sz w:val="28"/>
          <w:szCs w:val="28"/>
        </w:rPr>
        <w:t>fund</w:t>
      </w:r>
      <w:r>
        <w:rPr>
          <w:sz w:val="28"/>
          <w:szCs w:val="28"/>
        </w:rPr>
        <w:t xml:space="preserve"> hit RMB 7.0 trillion, </w:t>
      </w:r>
      <w:r>
        <w:rPr>
          <w:rFonts w:hint="eastAsia"/>
          <w:sz w:val="28"/>
          <w:szCs w:val="28"/>
        </w:rPr>
        <w:t>up</w:t>
      </w:r>
      <w:r>
        <w:rPr>
          <w:sz w:val="28"/>
          <w:szCs w:val="28"/>
        </w:rPr>
        <w:t xml:space="preserve"> by 50.7%</w:t>
      </w:r>
      <w:r>
        <w:rPr>
          <w:color w:val="auto"/>
          <w:sz w:val="28"/>
          <w:szCs w:val="28"/>
          <w:shd w:val="clear" w:color="auto" w:fill="auto"/>
        </w:rPr>
        <w:t>; trading volume of bonds totaled RMB 137.3 trillion, up by 10.5%. By the end of 2022, Beijing Stock Exchange owned 162 listed companies, with an increase of 80 over the previous year; the total equity owned hit 21.35 billion shares, up by 70.1%; number of shares issued by companies listed in Beijing Stock Exchange in 2022 totaled 1.80 billion shares (of which, 1.75 billion shares were publicly issued), up by 1.2 times; and the amount raised reached RMB 16.70 billion (of which, RMB 16.38 billion was publicly issued), up by 1.2 times.</w:t>
      </w:r>
    </w:p>
    <w:p>
      <w:pPr>
        <w:rPr>
          <w:sz w:val="28"/>
          <w:szCs w:val="28"/>
        </w:rPr>
      </w:pPr>
      <w:r>
        <w:rPr>
          <w:b/>
          <w:color w:val="auto"/>
          <w:sz w:val="28"/>
          <w:szCs w:val="28"/>
          <w:shd w:val="clear" w:color="auto" w:fill="auto"/>
        </w:rPr>
        <w:t>Insurance:</w:t>
      </w:r>
      <w:r>
        <w:rPr>
          <w:color w:val="auto"/>
          <w:sz w:val="28"/>
          <w:szCs w:val="28"/>
          <w:shd w:val="clear" w:color="auto" w:fill="auto"/>
        </w:rPr>
        <w:t xml:space="preserve"> In 20</w:t>
      </w:r>
      <w:r>
        <w:rPr>
          <w:rFonts w:hint="eastAsia"/>
          <w:color w:val="auto"/>
          <w:sz w:val="28"/>
          <w:szCs w:val="28"/>
          <w:shd w:val="clear" w:color="auto" w:fill="auto"/>
        </w:rPr>
        <w:t>2</w:t>
      </w:r>
      <w:r>
        <w:rPr>
          <w:color w:val="auto"/>
          <w:sz w:val="28"/>
          <w:szCs w:val="28"/>
          <w:shd w:val="clear" w:color="auto" w:fill="auto"/>
        </w:rPr>
        <w:t>2, revenues from orig</w:t>
      </w:r>
      <w:r>
        <w:rPr>
          <w:sz w:val="28"/>
          <w:szCs w:val="28"/>
        </w:rPr>
        <w:t>inal insurance premium totaled RMB 275.85 billion, up by 9</w:t>
      </w:r>
      <w:r>
        <w:rPr>
          <w:rFonts w:hint="eastAsia"/>
          <w:sz w:val="28"/>
          <w:szCs w:val="28"/>
        </w:rPr>
        <w:t>.</w:t>
      </w:r>
      <w:r>
        <w:rPr>
          <w:sz w:val="28"/>
          <w:szCs w:val="28"/>
        </w:rPr>
        <w:t>2% over the previous year. Of which, that from property insurance premium hit RMB 47.91 billion and that from life insurance premium reached RMB 227.94 billion. The indemnity of various insurances in 20</w:t>
      </w:r>
      <w:r>
        <w:rPr>
          <w:rFonts w:hint="eastAsia"/>
          <w:sz w:val="28"/>
          <w:szCs w:val="28"/>
        </w:rPr>
        <w:t>2</w:t>
      </w:r>
      <w:r>
        <w:rPr>
          <w:sz w:val="28"/>
          <w:szCs w:val="28"/>
        </w:rPr>
        <w:t>2 amounted to RMB 77.60 billion, down by 7.5%. Of which, that of property insurance totaled RMB 28.01 billion and that of life insurance was RMB 49.59 billion.</w:t>
      </w:r>
    </w:p>
    <w:p>
      <w:pPr>
        <w:outlineLvl w:val="0"/>
        <w:rPr>
          <w:rFonts w:eastAsia="黑体"/>
          <w:b/>
          <w:sz w:val="28"/>
          <w:szCs w:val="28"/>
        </w:rPr>
      </w:pPr>
      <w:r>
        <w:rPr>
          <w:b/>
          <w:sz w:val="28"/>
          <w:szCs w:val="28"/>
        </w:rPr>
        <w:t>VI. Investment in Fixed Assets and Real Estate Development</w:t>
      </w:r>
    </w:p>
    <w:p>
      <w:pPr>
        <w:rPr>
          <w:sz w:val="28"/>
          <w:szCs w:val="28"/>
        </w:rPr>
      </w:pPr>
      <w:r>
        <w:rPr>
          <w:b/>
          <w:sz w:val="28"/>
          <w:szCs w:val="28"/>
        </w:rPr>
        <w:t xml:space="preserve">Investment in </w:t>
      </w:r>
      <w:r>
        <w:rPr>
          <w:rFonts w:hint="eastAsia"/>
          <w:b/>
          <w:sz w:val="28"/>
          <w:szCs w:val="28"/>
        </w:rPr>
        <w:t>F</w:t>
      </w:r>
      <w:r>
        <w:rPr>
          <w:b/>
          <w:sz w:val="28"/>
          <w:szCs w:val="28"/>
        </w:rPr>
        <w:t xml:space="preserve">ixed </w:t>
      </w:r>
      <w:r>
        <w:rPr>
          <w:rFonts w:hint="eastAsia"/>
          <w:b/>
          <w:sz w:val="28"/>
          <w:szCs w:val="28"/>
        </w:rPr>
        <w:t>A</w:t>
      </w:r>
      <w:r>
        <w:rPr>
          <w:b/>
          <w:sz w:val="28"/>
          <w:szCs w:val="28"/>
        </w:rPr>
        <w:t>ssets:</w:t>
      </w:r>
      <w:r>
        <w:rPr>
          <w:sz w:val="28"/>
          <w:szCs w:val="28"/>
        </w:rPr>
        <w:t xml:space="preserve"> The total investment in fixed assets (excluding rural households) in 20</w:t>
      </w:r>
      <w:r>
        <w:rPr>
          <w:rFonts w:hint="eastAsia"/>
          <w:sz w:val="28"/>
          <w:szCs w:val="28"/>
        </w:rPr>
        <w:t>2</w:t>
      </w:r>
      <w:r>
        <w:rPr>
          <w:sz w:val="28"/>
          <w:szCs w:val="28"/>
        </w:rPr>
        <w:t>2</w:t>
      </w:r>
      <w:r>
        <w:rPr>
          <w:rFonts w:hint="eastAsia"/>
          <w:sz w:val="28"/>
          <w:szCs w:val="28"/>
        </w:rPr>
        <w:t xml:space="preserve"> increased by </w:t>
      </w:r>
      <w:r>
        <w:rPr>
          <w:sz w:val="28"/>
          <w:szCs w:val="28"/>
        </w:rPr>
        <w:t>3.6% over the previous year. Of which, infrastructure investment grew by 5.2%; while private investment</w:t>
      </w:r>
      <w:r>
        <w:rPr>
          <w:rFonts w:hint="eastAsia"/>
          <w:sz w:val="28"/>
          <w:szCs w:val="28"/>
        </w:rPr>
        <w:t xml:space="preserve"> dropped by </w:t>
      </w:r>
      <w:r>
        <w:rPr>
          <w:sz w:val="28"/>
          <w:szCs w:val="28"/>
        </w:rPr>
        <w:t>6.1%. By industries, the investment in the Primary Industry in</w:t>
      </w:r>
      <w:r>
        <w:rPr>
          <w:rFonts w:hint="eastAsia"/>
          <w:sz w:val="28"/>
          <w:szCs w:val="28"/>
        </w:rPr>
        <w:t>creased</w:t>
      </w:r>
      <w:r>
        <w:rPr>
          <w:sz w:val="28"/>
          <w:szCs w:val="28"/>
        </w:rPr>
        <w:t xml:space="preserve"> by 11</w:t>
      </w:r>
      <w:r>
        <w:rPr>
          <w:rFonts w:hint="eastAsia"/>
          <w:sz w:val="28"/>
          <w:szCs w:val="28"/>
        </w:rPr>
        <w:t>.</w:t>
      </w:r>
      <w:r>
        <w:rPr>
          <w:sz w:val="28"/>
          <w:szCs w:val="28"/>
        </w:rPr>
        <w:t xml:space="preserve">6%; investment in the Secondary Industry </w:t>
      </w:r>
      <w:r>
        <w:rPr>
          <w:rFonts w:hint="eastAsia"/>
          <w:sz w:val="28"/>
          <w:szCs w:val="28"/>
        </w:rPr>
        <w:t>increased</w:t>
      </w:r>
      <w:r>
        <w:rPr>
          <w:sz w:val="28"/>
          <w:szCs w:val="28"/>
        </w:rPr>
        <w:t xml:space="preserve"> by 20</w:t>
      </w:r>
      <w:r>
        <w:rPr>
          <w:rFonts w:hint="eastAsia"/>
          <w:sz w:val="28"/>
          <w:szCs w:val="28"/>
        </w:rPr>
        <w:t>.</w:t>
      </w:r>
      <w:r>
        <w:rPr>
          <w:sz w:val="28"/>
          <w:szCs w:val="28"/>
        </w:rPr>
        <w:t>5%</w:t>
      </w:r>
      <w:r>
        <w:rPr>
          <w:rFonts w:hint="eastAsia"/>
          <w:sz w:val="28"/>
          <w:szCs w:val="28"/>
        </w:rPr>
        <w:t xml:space="preserve">, of which, investment in </w:t>
      </w:r>
      <w:r>
        <w:rPr>
          <w:sz w:val="28"/>
          <w:szCs w:val="28"/>
        </w:rPr>
        <w:t>manufacturing</w:t>
      </w:r>
      <w:r>
        <w:rPr>
          <w:rFonts w:hint="eastAsia"/>
          <w:sz w:val="28"/>
          <w:szCs w:val="28"/>
        </w:rPr>
        <w:t xml:space="preserve"> increased by </w:t>
      </w:r>
      <w:r>
        <w:rPr>
          <w:sz w:val="28"/>
          <w:szCs w:val="28"/>
        </w:rPr>
        <w:t>18.4</w:t>
      </w:r>
      <w:r>
        <w:rPr>
          <w:rFonts w:hint="eastAsia"/>
          <w:sz w:val="28"/>
          <w:szCs w:val="28"/>
        </w:rPr>
        <w:t>%</w:t>
      </w:r>
      <w:r>
        <w:rPr>
          <w:sz w:val="28"/>
          <w:szCs w:val="28"/>
        </w:rPr>
        <w:t xml:space="preserve">; investment in the Tertiary Industry </w:t>
      </w:r>
      <w:r>
        <w:rPr>
          <w:rFonts w:hint="eastAsia"/>
          <w:sz w:val="28"/>
          <w:szCs w:val="28"/>
        </w:rPr>
        <w:t>increased</w:t>
      </w:r>
      <w:r>
        <w:rPr>
          <w:sz w:val="28"/>
          <w:szCs w:val="28"/>
        </w:rPr>
        <w:t xml:space="preserve"> by 1.7%</w:t>
      </w:r>
      <w:r>
        <w:rPr>
          <w:rFonts w:hint="eastAsia"/>
          <w:sz w:val="28"/>
          <w:szCs w:val="28"/>
        </w:rPr>
        <w:t xml:space="preserve">, of which, </w:t>
      </w:r>
      <w:r>
        <w:rPr>
          <w:sz w:val="28"/>
          <w:szCs w:val="28"/>
        </w:rPr>
        <w:t xml:space="preserve">investment in scientific research and development, technical services increased by 60.7%, investment in finance increased by 41.3%, </w:t>
      </w:r>
      <w:r>
        <w:rPr>
          <w:rFonts w:hint="eastAsia"/>
          <w:sz w:val="28"/>
          <w:szCs w:val="28"/>
        </w:rPr>
        <w:t>investment in</w:t>
      </w:r>
      <w:r>
        <w:rPr>
          <w:sz w:val="28"/>
          <w:szCs w:val="28"/>
        </w:rPr>
        <w:t xml:space="preserve"> information transmission, software and information technology services</w:t>
      </w:r>
      <w:r>
        <w:rPr>
          <w:rFonts w:hint="eastAsia"/>
          <w:sz w:val="28"/>
          <w:szCs w:val="28"/>
        </w:rPr>
        <w:t xml:space="preserve"> increased by </w:t>
      </w:r>
      <w:r>
        <w:rPr>
          <w:sz w:val="28"/>
          <w:szCs w:val="28"/>
        </w:rPr>
        <w:t>36</w:t>
      </w:r>
      <w:r>
        <w:rPr>
          <w:rFonts w:hint="eastAsia"/>
          <w:sz w:val="28"/>
          <w:szCs w:val="28"/>
        </w:rPr>
        <w:t>.</w:t>
      </w:r>
      <w:r>
        <w:rPr>
          <w:sz w:val="28"/>
          <w:szCs w:val="28"/>
        </w:rPr>
        <w:t>0</w:t>
      </w:r>
      <w:r>
        <w:rPr>
          <w:rFonts w:hint="eastAsia"/>
          <w:sz w:val="28"/>
          <w:szCs w:val="28"/>
        </w:rPr>
        <w:t>%,</w:t>
      </w:r>
      <w:r>
        <w:rPr>
          <w:sz w:val="28"/>
          <w:szCs w:val="28"/>
        </w:rPr>
        <w:t xml:space="preserve"> investment in </w:t>
      </w:r>
      <w:r>
        <w:rPr>
          <w:rFonts w:hint="eastAsia"/>
          <w:sz w:val="28"/>
          <w:szCs w:val="28"/>
        </w:rPr>
        <w:t>renting and leasing activities and business service</w:t>
      </w:r>
      <w:r>
        <w:rPr>
          <w:sz w:val="28"/>
          <w:szCs w:val="28"/>
        </w:rPr>
        <w:t xml:space="preserve"> increased by 31.0%, </w:t>
      </w:r>
      <w:r>
        <w:rPr>
          <w:rFonts w:hint="eastAsia"/>
          <w:sz w:val="28"/>
          <w:szCs w:val="28"/>
        </w:rPr>
        <w:t xml:space="preserve">investment in </w:t>
      </w:r>
      <w:r>
        <w:rPr>
          <w:sz w:val="28"/>
          <w:szCs w:val="28"/>
        </w:rPr>
        <w:t>education</w:t>
      </w:r>
      <w:r>
        <w:rPr>
          <w:rFonts w:hint="eastAsia"/>
          <w:sz w:val="28"/>
          <w:szCs w:val="28"/>
        </w:rPr>
        <w:t xml:space="preserve"> increased by </w:t>
      </w:r>
      <w:r>
        <w:rPr>
          <w:sz w:val="28"/>
          <w:szCs w:val="28"/>
        </w:rPr>
        <w:t>13</w:t>
      </w:r>
      <w:r>
        <w:rPr>
          <w:rFonts w:hint="eastAsia"/>
          <w:sz w:val="28"/>
          <w:szCs w:val="28"/>
        </w:rPr>
        <w:t>.</w:t>
      </w:r>
      <w:r>
        <w:rPr>
          <w:sz w:val="28"/>
          <w:szCs w:val="28"/>
        </w:rPr>
        <w:t>0</w:t>
      </w:r>
      <w:r>
        <w:rPr>
          <w:rFonts w:hint="eastAsia"/>
          <w:sz w:val="28"/>
          <w:szCs w:val="28"/>
        </w:rPr>
        <w:t>%</w:t>
      </w:r>
      <w:r>
        <w:rPr>
          <w:sz w:val="28"/>
          <w:szCs w:val="28"/>
        </w:rPr>
        <w:t xml:space="preserve">, and </w:t>
      </w:r>
      <w:r>
        <w:rPr>
          <w:rFonts w:hint="eastAsia"/>
          <w:sz w:val="28"/>
          <w:szCs w:val="28"/>
        </w:rPr>
        <w:t xml:space="preserve">investment in health care and social works increased by </w:t>
      </w:r>
      <w:r>
        <w:rPr>
          <w:sz w:val="28"/>
          <w:szCs w:val="28"/>
        </w:rPr>
        <w:t xml:space="preserve">10.9%. </w:t>
      </w:r>
    </w:p>
    <w:p>
      <w:pPr>
        <w:rPr>
          <w:sz w:val="28"/>
          <w:szCs w:val="28"/>
        </w:rPr>
      </w:pPr>
      <w:r>
        <w:rPr>
          <w:b/>
          <w:sz w:val="28"/>
          <w:szCs w:val="28"/>
        </w:rPr>
        <w:t xml:space="preserve">Real </w:t>
      </w:r>
      <w:r>
        <w:rPr>
          <w:rFonts w:hint="eastAsia"/>
          <w:b/>
          <w:sz w:val="28"/>
          <w:szCs w:val="28"/>
        </w:rPr>
        <w:t>E</w:t>
      </w:r>
      <w:r>
        <w:rPr>
          <w:b/>
          <w:sz w:val="28"/>
          <w:szCs w:val="28"/>
        </w:rPr>
        <w:t xml:space="preserve">state </w:t>
      </w:r>
      <w:r>
        <w:rPr>
          <w:rFonts w:hint="eastAsia"/>
          <w:b/>
          <w:sz w:val="28"/>
          <w:szCs w:val="28"/>
        </w:rPr>
        <w:t>D</w:t>
      </w:r>
      <w:r>
        <w:rPr>
          <w:b/>
          <w:sz w:val="28"/>
          <w:szCs w:val="28"/>
        </w:rPr>
        <w:t xml:space="preserve">evelopment: </w:t>
      </w:r>
      <w:r>
        <w:rPr>
          <w:sz w:val="28"/>
          <w:szCs w:val="28"/>
        </w:rPr>
        <w:t>Real estate development investment in 20</w:t>
      </w:r>
      <w:r>
        <w:rPr>
          <w:rFonts w:hint="eastAsia"/>
          <w:sz w:val="28"/>
          <w:szCs w:val="28"/>
        </w:rPr>
        <w:t>2</w:t>
      </w:r>
      <w:r>
        <w:rPr>
          <w:sz w:val="28"/>
          <w:szCs w:val="28"/>
        </w:rPr>
        <w:t>2</w:t>
      </w:r>
      <w:r>
        <w:rPr>
          <w:rFonts w:hint="eastAsia"/>
          <w:sz w:val="28"/>
          <w:szCs w:val="28"/>
        </w:rPr>
        <w:t xml:space="preserve"> increased</w:t>
      </w:r>
      <w:r>
        <w:rPr>
          <w:sz w:val="28"/>
          <w:szCs w:val="28"/>
        </w:rPr>
        <w:t xml:space="preserve"> by 1.0% over the previous year. Of which</w:t>
      </w:r>
      <w:r>
        <w:rPr>
          <w:rFonts w:hint="eastAsia"/>
          <w:sz w:val="28"/>
          <w:szCs w:val="28"/>
        </w:rPr>
        <w:t>,</w:t>
      </w:r>
      <w:r>
        <w:rPr>
          <w:sz w:val="28"/>
          <w:szCs w:val="28"/>
        </w:rPr>
        <w:t xml:space="preserve"> investment in residential buildings </w:t>
      </w:r>
      <w:r>
        <w:rPr>
          <w:rFonts w:hint="eastAsia"/>
          <w:sz w:val="28"/>
          <w:szCs w:val="28"/>
        </w:rPr>
        <w:t xml:space="preserve">increased by </w:t>
      </w:r>
      <w:r>
        <w:rPr>
          <w:sz w:val="28"/>
          <w:szCs w:val="28"/>
        </w:rPr>
        <w:t xml:space="preserve">5.8%; investment in offices </w:t>
      </w:r>
      <w:r>
        <w:rPr>
          <w:rFonts w:hint="eastAsia"/>
          <w:sz w:val="28"/>
          <w:szCs w:val="28"/>
        </w:rPr>
        <w:t xml:space="preserve">dropped by </w:t>
      </w:r>
      <w:r>
        <w:rPr>
          <w:sz w:val="28"/>
          <w:szCs w:val="28"/>
        </w:rPr>
        <w:t>22.5</w:t>
      </w:r>
      <w:r>
        <w:rPr>
          <w:rFonts w:hint="eastAsia"/>
          <w:sz w:val="28"/>
          <w:szCs w:val="28"/>
        </w:rPr>
        <w:t xml:space="preserve">%; investment in </w:t>
      </w:r>
      <w:r>
        <w:rPr>
          <w:sz w:val="28"/>
          <w:szCs w:val="28"/>
        </w:rPr>
        <w:t xml:space="preserve">commercial housing and </w:t>
      </w:r>
      <w:r>
        <w:rPr>
          <w:rFonts w:hint="eastAsia"/>
          <w:sz w:val="28"/>
          <w:szCs w:val="28"/>
        </w:rPr>
        <w:t xml:space="preserve">houses for business use </w:t>
      </w:r>
      <w:r>
        <w:rPr>
          <w:sz w:val="28"/>
          <w:szCs w:val="28"/>
        </w:rPr>
        <w:t>in</w:t>
      </w:r>
      <w:r>
        <w:rPr>
          <w:rFonts w:hint="eastAsia"/>
          <w:sz w:val="28"/>
          <w:szCs w:val="28"/>
        </w:rPr>
        <w:t>creased</w:t>
      </w:r>
      <w:r>
        <w:rPr>
          <w:sz w:val="28"/>
          <w:szCs w:val="28"/>
        </w:rPr>
        <w:t xml:space="preserve"> by 15.7%. </w:t>
      </w:r>
      <w:r>
        <w:rPr>
          <w:rFonts w:hint="eastAsia"/>
          <w:sz w:val="28"/>
          <w:szCs w:val="28"/>
        </w:rPr>
        <w:t>T</w:t>
      </w:r>
      <w:r>
        <w:rPr>
          <w:sz w:val="28"/>
          <w:szCs w:val="28"/>
        </w:rPr>
        <w:t xml:space="preserve">he construction area of </w:t>
      </w:r>
      <w:r>
        <w:rPr>
          <w:rFonts w:hint="eastAsia"/>
          <w:sz w:val="28"/>
          <w:szCs w:val="28"/>
        </w:rPr>
        <w:t>buildings</w:t>
      </w:r>
      <w:r>
        <w:rPr>
          <w:sz w:val="28"/>
          <w:szCs w:val="28"/>
        </w:rPr>
        <w:t xml:space="preserve"> in the city was 133.331 million square meters, down by 5.</w:t>
      </w:r>
      <w:r>
        <w:rPr>
          <w:rFonts w:hint="eastAsia"/>
          <w:sz w:val="28"/>
          <w:szCs w:val="28"/>
        </w:rPr>
        <w:t>1</w:t>
      </w:r>
      <w:r>
        <w:rPr>
          <w:sz w:val="28"/>
          <w:szCs w:val="28"/>
        </w:rPr>
        <w:t xml:space="preserve">% </w:t>
      </w:r>
      <w:r>
        <w:rPr>
          <w:rFonts w:hint="eastAsia"/>
          <w:sz w:val="28"/>
          <w:szCs w:val="28"/>
        </w:rPr>
        <w:t>over the previous year</w:t>
      </w:r>
      <w:r>
        <w:rPr>
          <w:sz w:val="28"/>
          <w:szCs w:val="28"/>
        </w:rPr>
        <w:t xml:space="preserve">. Of which, new started floor space amounted to 17.744 million square meters, down by 6.4%. Floor space of </w:t>
      </w:r>
      <w:r>
        <w:rPr>
          <w:rFonts w:hint="eastAsia"/>
          <w:sz w:val="28"/>
          <w:szCs w:val="28"/>
        </w:rPr>
        <w:t>buildings</w:t>
      </w:r>
      <w:r>
        <w:rPr>
          <w:sz w:val="28"/>
          <w:szCs w:val="28"/>
        </w:rPr>
        <w:t xml:space="preserve"> completed in 20</w:t>
      </w:r>
      <w:r>
        <w:rPr>
          <w:rFonts w:hint="eastAsia"/>
          <w:sz w:val="28"/>
          <w:szCs w:val="28"/>
        </w:rPr>
        <w:t>2</w:t>
      </w:r>
      <w:r>
        <w:rPr>
          <w:sz w:val="28"/>
          <w:szCs w:val="28"/>
        </w:rPr>
        <w:t>2 was 19.385 million square meters, down by 2</w:t>
      </w:r>
      <w:r>
        <w:rPr>
          <w:rFonts w:hint="eastAsia"/>
          <w:sz w:val="28"/>
          <w:szCs w:val="28"/>
        </w:rPr>
        <w:t>.</w:t>
      </w:r>
      <w:r>
        <w:rPr>
          <w:sz w:val="28"/>
          <w:szCs w:val="28"/>
        </w:rPr>
        <w:t>3%.</w:t>
      </w:r>
    </w:p>
    <w:p>
      <w:pPr>
        <w:jc w:val="center"/>
        <w:rPr>
          <w:b/>
          <w:sz w:val="24"/>
        </w:rPr>
      </w:pPr>
      <w:r>
        <w:rPr>
          <w:b/>
          <w:sz w:val="24"/>
        </w:rPr>
        <w:t>Table 10: Main Indicators for Real Estate Development and Sales in 20</w:t>
      </w:r>
      <w:r>
        <w:rPr>
          <w:rFonts w:hint="eastAsia"/>
          <w:b/>
          <w:sz w:val="24"/>
        </w:rPr>
        <w:t>2</w:t>
      </w:r>
      <w:r>
        <w:rPr>
          <w:b/>
          <w:sz w:val="24"/>
        </w:rPr>
        <w:t>2</w:t>
      </w:r>
    </w:p>
    <w:tbl>
      <w:tblPr>
        <w:tblStyle w:val="14"/>
        <w:tblW w:w="4910" w:type="pct"/>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5070"/>
        <w:gridCol w:w="2126"/>
        <w:gridCol w:w="1701"/>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49" w:type="pct"/>
            <w:vAlign w:val="center"/>
          </w:tcPr>
          <w:p>
            <w:pPr>
              <w:widowControl/>
              <w:jc w:val="center"/>
              <w:rPr>
                <w:kern w:val="0"/>
                <w:szCs w:val="21"/>
              </w:rPr>
            </w:pPr>
            <w:r>
              <w:rPr>
                <w:kern w:val="0"/>
                <w:szCs w:val="21"/>
              </w:rPr>
              <w:t>Indicators</w:t>
            </w:r>
          </w:p>
        </w:tc>
        <w:tc>
          <w:tcPr>
            <w:tcW w:w="1195" w:type="pct"/>
            <w:vAlign w:val="center"/>
          </w:tcPr>
          <w:p>
            <w:pPr>
              <w:widowControl/>
              <w:jc w:val="center"/>
              <w:rPr>
                <w:kern w:val="0"/>
                <w:szCs w:val="21"/>
              </w:rPr>
            </w:pPr>
            <w:r>
              <w:rPr>
                <w:kern w:val="0"/>
                <w:szCs w:val="21"/>
              </w:rPr>
              <w:t>Absolute volume (10,000 square meters)</w:t>
            </w:r>
          </w:p>
        </w:tc>
        <w:tc>
          <w:tcPr>
            <w:tcW w:w="956" w:type="pct"/>
            <w:vAlign w:val="center"/>
          </w:tcPr>
          <w:p>
            <w:pPr>
              <w:widowControl/>
              <w:jc w:val="center"/>
              <w:rPr>
                <w:kern w:val="0"/>
                <w:szCs w:val="21"/>
              </w:rPr>
            </w:pPr>
            <w:r>
              <w:rPr>
                <w:szCs w:val="21"/>
              </w:rPr>
              <w:t>Increase over the previous year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49" w:type="pct"/>
            <w:vAlign w:val="center"/>
          </w:tcPr>
          <w:p>
            <w:pPr>
              <w:widowControl/>
              <w:rPr>
                <w:kern w:val="0"/>
                <w:szCs w:val="21"/>
              </w:rPr>
            </w:pPr>
            <w:r>
              <w:rPr>
                <w:kern w:val="0"/>
              </w:rPr>
              <w:t xml:space="preserve">Floor </w:t>
            </w:r>
            <w:r>
              <w:rPr>
                <w:rFonts w:hint="eastAsia"/>
                <w:kern w:val="0"/>
              </w:rPr>
              <w:t>S</w:t>
            </w:r>
            <w:r>
              <w:rPr>
                <w:kern w:val="0"/>
              </w:rPr>
              <w:t xml:space="preserve">pace of </w:t>
            </w:r>
            <w:r>
              <w:rPr>
                <w:rFonts w:hint="eastAsia"/>
                <w:kern w:val="0"/>
              </w:rPr>
              <w:t>B</w:t>
            </w:r>
            <w:r>
              <w:rPr>
                <w:kern w:val="0"/>
              </w:rPr>
              <w:t xml:space="preserve">uildings under </w:t>
            </w:r>
            <w:r>
              <w:rPr>
                <w:rFonts w:hint="eastAsia"/>
                <w:kern w:val="0"/>
              </w:rPr>
              <w:t>C</w:t>
            </w:r>
            <w:r>
              <w:rPr>
                <w:kern w:val="0"/>
              </w:rPr>
              <w:t>onstruction</w:t>
            </w:r>
          </w:p>
        </w:tc>
        <w:tc>
          <w:tcPr>
            <w:tcW w:w="1195" w:type="pct"/>
            <w:vAlign w:val="center"/>
          </w:tcPr>
          <w:p>
            <w:pPr>
              <w:widowControl/>
              <w:ind w:right="735" w:rightChars="350"/>
              <w:jc w:val="right"/>
              <w:rPr>
                <w:kern w:val="0"/>
                <w:szCs w:val="21"/>
              </w:rPr>
            </w:pPr>
            <w:r>
              <w:rPr>
                <w:kern w:val="0"/>
                <w:szCs w:val="21"/>
              </w:rPr>
              <w:t>13333.1</w:t>
            </w:r>
          </w:p>
        </w:tc>
        <w:tc>
          <w:tcPr>
            <w:tcW w:w="956" w:type="pct"/>
            <w:vAlign w:val="center"/>
          </w:tcPr>
          <w:p>
            <w:pPr>
              <w:widowControl/>
              <w:ind w:right="840" w:rightChars="400"/>
              <w:jc w:val="right"/>
              <w:rPr>
                <w:kern w:val="0"/>
                <w:szCs w:val="21"/>
              </w:rPr>
            </w:pPr>
            <w:r>
              <w:rPr>
                <w:kern w:val="0"/>
                <w:szCs w:val="21"/>
              </w:rPr>
              <w:t>-5.1</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49" w:type="pct"/>
            <w:vAlign w:val="center"/>
          </w:tcPr>
          <w:p>
            <w:pPr>
              <w:widowControl/>
              <w:rPr>
                <w:kern w:val="0"/>
                <w:szCs w:val="21"/>
              </w:rPr>
            </w:pPr>
            <w:r>
              <w:rPr>
                <w:kern w:val="0"/>
                <w:szCs w:val="21"/>
              </w:rPr>
              <w:t xml:space="preserve"> </w:t>
            </w:r>
            <w:r>
              <w:rPr>
                <w:kern w:val="0"/>
              </w:rPr>
              <w:t xml:space="preserve">Of which: Residential </w:t>
            </w:r>
            <w:r>
              <w:rPr>
                <w:rFonts w:hint="eastAsia"/>
                <w:kern w:val="0"/>
              </w:rPr>
              <w:t>B</w:t>
            </w:r>
            <w:r>
              <w:rPr>
                <w:kern w:val="0"/>
              </w:rPr>
              <w:t>uildings</w:t>
            </w:r>
          </w:p>
        </w:tc>
        <w:tc>
          <w:tcPr>
            <w:tcW w:w="1195" w:type="pct"/>
            <w:vAlign w:val="center"/>
          </w:tcPr>
          <w:p>
            <w:pPr>
              <w:widowControl/>
              <w:ind w:right="735" w:rightChars="350"/>
              <w:jc w:val="right"/>
              <w:rPr>
                <w:kern w:val="0"/>
                <w:szCs w:val="21"/>
              </w:rPr>
            </w:pPr>
            <w:r>
              <w:rPr>
                <w:kern w:val="0"/>
                <w:szCs w:val="21"/>
              </w:rPr>
              <w:t>6713.6</w:t>
            </w:r>
          </w:p>
        </w:tc>
        <w:tc>
          <w:tcPr>
            <w:tcW w:w="956" w:type="pct"/>
            <w:vAlign w:val="center"/>
          </w:tcPr>
          <w:p>
            <w:pPr>
              <w:widowControl/>
              <w:ind w:right="840" w:rightChars="400"/>
              <w:jc w:val="right"/>
              <w:rPr>
                <w:kern w:val="0"/>
                <w:szCs w:val="21"/>
              </w:rPr>
            </w:pPr>
            <w:r>
              <w:rPr>
                <w:kern w:val="0"/>
                <w:szCs w:val="21"/>
              </w:rPr>
              <w:t>-</w:t>
            </w:r>
            <w:r>
              <w:rPr>
                <w:rFonts w:hint="eastAsia"/>
                <w:kern w:val="0"/>
                <w:szCs w:val="21"/>
              </w:rPr>
              <w:t>2</w:t>
            </w:r>
            <w:r>
              <w:rPr>
                <w:kern w:val="0"/>
                <w:szCs w:val="21"/>
              </w:rPr>
              <w:t>.6</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49" w:type="pct"/>
            <w:vAlign w:val="center"/>
          </w:tcPr>
          <w:p>
            <w:pPr>
              <w:widowControl/>
              <w:ind w:firstLine="105" w:firstLineChars="50"/>
              <w:rPr>
                <w:kern w:val="0"/>
              </w:rPr>
            </w:pPr>
            <w:r>
              <w:rPr>
                <w:kern w:val="0"/>
              </w:rPr>
              <w:t xml:space="preserve">Of which: Floor </w:t>
            </w:r>
            <w:r>
              <w:rPr>
                <w:rFonts w:hint="eastAsia"/>
                <w:kern w:val="0"/>
              </w:rPr>
              <w:t>S</w:t>
            </w:r>
            <w:r>
              <w:rPr>
                <w:kern w:val="0"/>
              </w:rPr>
              <w:t xml:space="preserve">pace </w:t>
            </w:r>
            <w:r>
              <w:rPr>
                <w:rFonts w:hint="eastAsia"/>
                <w:kern w:val="0"/>
              </w:rPr>
              <w:t>N</w:t>
            </w:r>
            <w:r>
              <w:rPr>
                <w:kern w:val="0"/>
              </w:rPr>
              <w:t>ewly</w:t>
            </w:r>
            <w:r>
              <w:rPr>
                <w:rFonts w:hint="eastAsia"/>
                <w:kern w:val="0"/>
              </w:rPr>
              <w:t xml:space="preserve"> C</w:t>
            </w:r>
            <w:r>
              <w:rPr>
                <w:kern w:val="0"/>
              </w:rPr>
              <w:t xml:space="preserve">onstructed in </w:t>
            </w:r>
          </w:p>
          <w:p>
            <w:pPr>
              <w:widowControl/>
              <w:ind w:firstLine="210" w:firstLineChars="100"/>
              <w:rPr>
                <w:kern w:val="0"/>
                <w:szCs w:val="21"/>
              </w:rPr>
            </w:pPr>
            <w:r>
              <w:rPr>
                <w:rFonts w:hint="eastAsia"/>
                <w:kern w:val="0"/>
              </w:rPr>
              <w:t>T</w:t>
            </w:r>
            <w:r>
              <w:rPr>
                <w:kern w:val="0"/>
              </w:rPr>
              <w:t xml:space="preserve">his </w:t>
            </w:r>
            <w:r>
              <w:rPr>
                <w:rFonts w:hint="eastAsia"/>
                <w:kern w:val="0"/>
              </w:rPr>
              <w:t>Y</w:t>
            </w:r>
            <w:r>
              <w:rPr>
                <w:kern w:val="0"/>
              </w:rPr>
              <w:t>ear</w:t>
            </w:r>
          </w:p>
        </w:tc>
        <w:tc>
          <w:tcPr>
            <w:tcW w:w="1195" w:type="pct"/>
            <w:vAlign w:val="center"/>
          </w:tcPr>
          <w:p>
            <w:pPr>
              <w:widowControl/>
              <w:ind w:right="735" w:rightChars="350"/>
              <w:jc w:val="right"/>
              <w:rPr>
                <w:kern w:val="0"/>
                <w:szCs w:val="21"/>
              </w:rPr>
            </w:pPr>
            <w:r>
              <w:rPr>
                <w:rFonts w:hint="eastAsia"/>
                <w:kern w:val="0"/>
                <w:szCs w:val="21"/>
              </w:rPr>
              <w:t>1</w:t>
            </w:r>
            <w:r>
              <w:rPr>
                <w:kern w:val="0"/>
                <w:szCs w:val="21"/>
              </w:rPr>
              <w:t>774.4</w:t>
            </w:r>
          </w:p>
        </w:tc>
        <w:tc>
          <w:tcPr>
            <w:tcW w:w="956" w:type="pct"/>
            <w:vAlign w:val="center"/>
          </w:tcPr>
          <w:p>
            <w:pPr>
              <w:widowControl/>
              <w:ind w:right="840" w:rightChars="400"/>
              <w:jc w:val="right"/>
              <w:rPr>
                <w:kern w:val="0"/>
                <w:szCs w:val="21"/>
              </w:rPr>
            </w:pPr>
            <w:r>
              <w:rPr>
                <w:rFonts w:hint="eastAsia"/>
                <w:kern w:val="0"/>
                <w:szCs w:val="21"/>
              </w:rPr>
              <w:t>-</w:t>
            </w:r>
            <w:r>
              <w:rPr>
                <w:kern w:val="0"/>
                <w:szCs w:val="21"/>
              </w:rPr>
              <w:t>6.4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49" w:type="pct"/>
            <w:vAlign w:val="center"/>
          </w:tcPr>
          <w:p>
            <w:pPr>
              <w:widowControl/>
              <w:ind w:firstLine="210" w:firstLineChars="100"/>
              <w:rPr>
                <w:kern w:val="0"/>
                <w:szCs w:val="21"/>
              </w:rPr>
            </w:pPr>
            <w:r>
              <w:rPr>
                <w:kern w:val="0"/>
              </w:rPr>
              <w:t xml:space="preserve">Of which: Residential </w:t>
            </w:r>
            <w:r>
              <w:rPr>
                <w:rFonts w:hint="eastAsia"/>
                <w:kern w:val="0"/>
              </w:rPr>
              <w:t>B</w:t>
            </w:r>
            <w:r>
              <w:rPr>
                <w:kern w:val="0"/>
              </w:rPr>
              <w:t>uildings</w:t>
            </w:r>
          </w:p>
        </w:tc>
        <w:tc>
          <w:tcPr>
            <w:tcW w:w="1195" w:type="pct"/>
            <w:vAlign w:val="center"/>
          </w:tcPr>
          <w:p>
            <w:pPr>
              <w:widowControl/>
              <w:ind w:right="735" w:rightChars="350"/>
              <w:jc w:val="right"/>
              <w:rPr>
                <w:kern w:val="0"/>
                <w:szCs w:val="21"/>
              </w:rPr>
            </w:pPr>
            <w:r>
              <w:rPr>
                <w:kern w:val="0"/>
                <w:szCs w:val="21"/>
              </w:rPr>
              <w:t>978.4</w:t>
            </w:r>
          </w:p>
        </w:tc>
        <w:tc>
          <w:tcPr>
            <w:tcW w:w="956" w:type="pct"/>
            <w:vAlign w:val="center"/>
          </w:tcPr>
          <w:p>
            <w:pPr>
              <w:widowControl/>
              <w:ind w:right="840" w:rightChars="400"/>
              <w:jc w:val="right"/>
              <w:rPr>
                <w:kern w:val="0"/>
                <w:szCs w:val="21"/>
              </w:rPr>
            </w:pPr>
            <w:r>
              <w:rPr>
                <w:rFonts w:hint="eastAsia"/>
                <w:kern w:val="0"/>
                <w:szCs w:val="21"/>
              </w:rPr>
              <w:t>-</w:t>
            </w:r>
            <w:r>
              <w:rPr>
                <w:kern w:val="0"/>
                <w:szCs w:val="21"/>
              </w:rPr>
              <w:t>4.6</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49" w:type="pct"/>
            <w:vAlign w:val="center"/>
          </w:tcPr>
          <w:p>
            <w:pPr>
              <w:widowControl/>
              <w:rPr>
                <w:kern w:val="0"/>
                <w:szCs w:val="21"/>
              </w:rPr>
            </w:pPr>
            <w:r>
              <w:rPr>
                <w:kern w:val="0"/>
              </w:rPr>
              <w:t xml:space="preserve">Floor </w:t>
            </w:r>
            <w:r>
              <w:rPr>
                <w:rFonts w:hint="eastAsia"/>
                <w:kern w:val="0"/>
              </w:rPr>
              <w:t>S</w:t>
            </w:r>
            <w:r>
              <w:rPr>
                <w:kern w:val="0"/>
              </w:rPr>
              <w:t xml:space="preserve">pace of </w:t>
            </w:r>
            <w:r>
              <w:rPr>
                <w:rFonts w:hint="eastAsia"/>
                <w:kern w:val="0"/>
              </w:rPr>
              <w:t>B</w:t>
            </w:r>
            <w:r>
              <w:rPr>
                <w:kern w:val="0"/>
              </w:rPr>
              <w:t>uildings</w:t>
            </w:r>
            <w:r>
              <w:rPr>
                <w:rFonts w:hint="eastAsia"/>
                <w:kern w:val="0"/>
              </w:rPr>
              <w:t xml:space="preserve"> C</w:t>
            </w:r>
            <w:r>
              <w:rPr>
                <w:kern w:val="0"/>
              </w:rPr>
              <w:t>ompleted</w:t>
            </w:r>
          </w:p>
        </w:tc>
        <w:tc>
          <w:tcPr>
            <w:tcW w:w="1195" w:type="pct"/>
            <w:vAlign w:val="center"/>
          </w:tcPr>
          <w:p>
            <w:pPr>
              <w:widowControl/>
              <w:ind w:right="735" w:rightChars="350"/>
              <w:jc w:val="right"/>
              <w:rPr>
                <w:kern w:val="0"/>
                <w:szCs w:val="21"/>
              </w:rPr>
            </w:pPr>
            <w:r>
              <w:rPr>
                <w:rFonts w:hint="eastAsia"/>
                <w:kern w:val="0"/>
                <w:szCs w:val="21"/>
              </w:rPr>
              <w:t>1</w:t>
            </w:r>
            <w:r>
              <w:rPr>
                <w:kern w:val="0"/>
                <w:szCs w:val="21"/>
              </w:rPr>
              <w:t>983.5</w:t>
            </w:r>
          </w:p>
        </w:tc>
        <w:tc>
          <w:tcPr>
            <w:tcW w:w="956" w:type="pct"/>
            <w:vAlign w:val="center"/>
          </w:tcPr>
          <w:p>
            <w:pPr>
              <w:widowControl/>
              <w:ind w:right="840" w:rightChars="400"/>
              <w:jc w:val="right"/>
              <w:rPr>
                <w:kern w:val="0"/>
                <w:szCs w:val="21"/>
              </w:rPr>
            </w:pPr>
            <w:r>
              <w:rPr>
                <w:kern w:val="0"/>
                <w:szCs w:val="21"/>
              </w:rPr>
              <w:t>-2.3</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49" w:type="pct"/>
            <w:vAlign w:val="center"/>
          </w:tcPr>
          <w:p>
            <w:pPr>
              <w:widowControl/>
              <w:ind w:firstLine="105" w:firstLineChars="50"/>
              <w:rPr>
                <w:kern w:val="0"/>
                <w:szCs w:val="21"/>
              </w:rPr>
            </w:pPr>
            <w:r>
              <w:rPr>
                <w:kern w:val="0"/>
              </w:rPr>
              <w:t xml:space="preserve">Of which: Residential </w:t>
            </w:r>
            <w:r>
              <w:rPr>
                <w:rFonts w:hint="eastAsia"/>
                <w:kern w:val="0"/>
              </w:rPr>
              <w:t>B</w:t>
            </w:r>
            <w:r>
              <w:rPr>
                <w:kern w:val="0"/>
              </w:rPr>
              <w:t>uildings</w:t>
            </w:r>
          </w:p>
        </w:tc>
        <w:tc>
          <w:tcPr>
            <w:tcW w:w="1195" w:type="pct"/>
            <w:vAlign w:val="center"/>
          </w:tcPr>
          <w:p>
            <w:pPr>
              <w:widowControl/>
              <w:ind w:right="735" w:rightChars="350"/>
              <w:jc w:val="right"/>
              <w:rPr>
                <w:kern w:val="0"/>
                <w:szCs w:val="21"/>
              </w:rPr>
            </w:pPr>
            <w:r>
              <w:rPr>
                <w:kern w:val="0"/>
                <w:szCs w:val="21"/>
              </w:rPr>
              <w:t>1096.2</w:t>
            </w:r>
          </w:p>
        </w:tc>
        <w:tc>
          <w:tcPr>
            <w:tcW w:w="956" w:type="pct"/>
            <w:vAlign w:val="center"/>
          </w:tcPr>
          <w:p>
            <w:pPr>
              <w:widowControl/>
              <w:ind w:right="840" w:rightChars="400"/>
              <w:jc w:val="right"/>
              <w:rPr>
                <w:kern w:val="0"/>
                <w:szCs w:val="21"/>
              </w:rPr>
            </w:pPr>
            <w:r>
              <w:rPr>
                <w:kern w:val="0"/>
                <w:szCs w:val="21"/>
              </w:rPr>
              <w:t>11.7</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49" w:type="pct"/>
            <w:vAlign w:val="center"/>
          </w:tcPr>
          <w:p>
            <w:pPr>
              <w:widowControl/>
              <w:rPr>
                <w:kern w:val="0"/>
                <w:szCs w:val="21"/>
              </w:rPr>
            </w:pPr>
            <w:r>
              <w:rPr>
                <w:kern w:val="0"/>
              </w:rPr>
              <w:t xml:space="preserve">Floor </w:t>
            </w:r>
            <w:r>
              <w:rPr>
                <w:rFonts w:hint="eastAsia"/>
                <w:kern w:val="0"/>
              </w:rPr>
              <w:t>S</w:t>
            </w:r>
            <w:r>
              <w:rPr>
                <w:kern w:val="0"/>
              </w:rPr>
              <w:t xml:space="preserve">pace of </w:t>
            </w:r>
            <w:r>
              <w:rPr>
                <w:rFonts w:hint="eastAsia"/>
                <w:kern w:val="0"/>
              </w:rPr>
              <w:t>S</w:t>
            </w:r>
            <w:r>
              <w:rPr>
                <w:kern w:val="0"/>
              </w:rPr>
              <w:t xml:space="preserve">old </w:t>
            </w:r>
            <w:r>
              <w:rPr>
                <w:rFonts w:hint="eastAsia"/>
                <w:kern w:val="0"/>
              </w:rPr>
              <w:t>C</w:t>
            </w:r>
            <w:r>
              <w:rPr>
                <w:kern w:val="0"/>
              </w:rPr>
              <w:t xml:space="preserve">ommercial </w:t>
            </w:r>
            <w:r>
              <w:rPr>
                <w:rFonts w:hint="eastAsia"/>
                <w:kern w:val="0"/>
              </w:rPr>
              <w:t>H</w:t>
            </w:r>
            <w:r>
              <w:rPr>
                <w:kern w:val="0"/>
              </w:rPr>
              <w:t>ousings</w:t>
            </w:r>
          </w:p>
        </w:tc>
        <w:tc>
          <w:tcPr>
            <w:tcW w:w="1195" w:type="pct"/>
            <w:vAlign w:val="center"/>
          </w:tcPr>
          <w:p>
            <w:pPr>
              <w:widowControl/>
              <w:ind w:right="735" w:rightChars="350"/>
              <w:jc w:val="right"/>
              <w:rPr>
                <w:kern w:val="0"/>
                <w:szCs w:val="21"/>
              </w:rPr>
            </w:pPr>
            <w:r>
              <w:rPr>
                <w:rFonts w:hint="eastAsia"/>
                <w:kern w:val="0"/>
                <w:szCs w:val="21"/>
              </w:rPr>
              <w:t>1</w:t>
            </w:r>
            <w:r>
              <w:rPr>
                <w:kern w:val="0"/>
                <w:szCs w:val="21"/>
              </w:rPr>
              <w:t>040.0</w:t>
            </w:r>
          </w:p>
        </w:tc>
        <w:tc>
          <w:tcPr>
            <w:tcW w:w="956" w:type="pct"/>
            <w:vAlign w:val="center"/>
          </w:tcPr>
          <w:p>
            <w:pPr>
              <w:widowControl/>
              <w:ind w:right="840" w:rightChars="400"/>
              <w:jc w:val="right"/>
              <w:rPr>
                <w:kern w:val="0"/>
                <w:szCs w:val="21"/>
              </w:rPr>
            </w:pPr>
            <w:r>
              <w:rPr>
                <w:kern w:val="0"/>
                <w:szCs w:val="21"/>
              </w:rPr>
              <w:t>-6.1</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49" w:type="pct"/>
            <w:vAlign w:val="center"/>
          </w:tcPr>
          <w:p>
            <w:pPr>
              <w:widowControl/>
              <w:ind w:firstLine="105" w:firstLineChars="50"/>
              <w:rPr>
                <w:kern w:val="0"/>
                <w:szCs w:val="21"/>
              </w:rPr>
            </w:pPr>
            <w:r>
              <w:rPr>
                <w:kern w:val="0"/>
              </w:rPr>
              <w:t xml:space="preserve">Of which: Residential </w:t>
            </w:r>
            <w:r>
              <w:rPr>
                <w:rFonts w:hint="eastAsia"/>
                <w:kern w:val="0"/>
              </w:rPr>
              <w:t>B</w:t>
            </w:r>
            <w:r>
              <w:rPr>
                <w:kern w:val="0"/>
              </w:rPr>
              <w:t>uildings</w:t>
            </w:r>
          </w:p>
        </w:tc>
        <w:tc>
          <w:tcPr>
            <w:tcW w:w="1195" w:type="pct"/>
            <w:vAlign w:val="center"/>
          </w:tcPr>
          <w:p>
            <w:pPr>
              <w:widowControl/>
              <w:ind w:right="735" w:rightChars="350"/>
              <w:jc w:val="right"/>
              <w:rPr>
                <w:kern w:val="0"/>
                <w:szCs w:val="21"/>
              </w:rPr>
            </w:pPr>
            <w:r>
              <w:rPr>
                <w:kern w:val="0"/>
                <w:szCs w:val="21"/>
              </w:rPr>
              <w:t>741.9</w:t>
            </w:r>
          </w:p>
        </w:tc>
        <w:tc>
          <w:tcPr>
            <w:tcW w:w="956" w:type="pct"/>
            <w:vAlign w:val="center"/>
          </w:tcPr>
          <w:p>
            <w:pPr>
              <w:widowControl/>
              <w:ind w:right="840" w:rightChars="400"/>
              <w:jc w:val="right"/>
              <w:rPr>
                <w:kern w:val="0"/>
                <w:szCs w:val="21"/>
              </w:rPr>
            </w:pPr>
            <w:r>
              <w:rPr>
                <w:kern w:val="0"/>
                <w:szCs w:val="21"/>
              </w:rPr>
              <w:t>-15.4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49" w:type="pct"/>
            <w:vAlign w:val="center"/>
          </w:tcPr>
          <w:p>
            <w:pPr>
              <w:widowControl/>
              <w:rPr>
                <w:kern w:val="0"/>
                <w:szCs w:val="21"/>
              </w:rPr>
            </w:pPr>
            <w:r>
              <w:rPr>
                <w:kern w:val="0"/>
              </w:rPr>
              <w:t xml:space="preserve">Floor </w:t>
            </w:r>
            <w:r>
              <w:rPr>
                <w:rFonts w:hint="eastAsia"/>
                <w:kern w:val="0"/>
              </w:rPr>
              <w:t>S</w:t>
            </w:r>
            <w:r>
              <w:rPr>
                <w:kern w:val="0"/>
              </w:rPr>
              <w:t xml:space="preserve">pace of Vacant </w:t>
            </w:r>
            <w:r>
              <w:rPr>
                <w:rFonts w:hint="eastAsia"/>
                <w:kern w:val="0"/>
              </w:rPr>
              <w:t>C</w:t>
            </w:r>
            <w:r>
              <w:rPr>
                <w:kern w:val="0"/>
              </w:rPr>
              <w:t xml:space="preserve">ommercial </w:t>
            </w:r>
            <w:r>
              <w:rPr>
                <w:rFonts w:hint="eastAsia"/>
                <w:kern w:val="0"/>
              </w:rPr>
              <w:t>H</w:t>
            </w:r>
            <w:r>
              <w:rPr>
                <w:kern w:val="0"/>
              </w:rPr>
              <w:t>ousings at the Year End</w:t>
            </w:r>
          </w:p>
        </w:tc>
        <w:tc>
          <w:tcPr>
            <w:tcW w:w="1195" w:type="pct"/>
            <w:vAlign w:val="center"/>
          </w:tcPr>
          <w:p>
            <w:pPr>
              <w:widowControl/>
              <w:ind w:right="735" w:rightChars="350"/>
              <w:jc w:val="right"/>
              <w:rPr>
                <w:kern w:val="0"/>
                <w:szCs w:val="21"/>
              </w:rPr>
            </w:pPr>
            <w:r>
              <w:rPr>
                <w:kern w:val="0"/>
                <w:szCs w:val="21"/>
              </w:rPr>
              <w:t>2617.0</w:t>
            </w:r>
          </w:p>
        </w:tc>
        <w:tc>
          <w:tcPr>
            <w:tcW w:w="956" w:type="pct"/>
            <w:vAlign w:val="center"/>
          </w:tcPr>
          <w:p>
            <w:pPr>
              <w:widowControl/>
              <w:ind w:right="840" w:rightChars="400"/>
              <w:jc w:val="right"/>
              <w:rPr>
                <w:kern w:val="0"/>
                <w:szCs w:val="21"/>
              </w:rPr>
            </w:pPr>
            <w:r>
              <w:rPr>
                <w:kern w:val="0"/>
                <w:szCs w:val="21"/>
              </w:rPr>
              <w:t>9.2</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49" w:type="pct"/>
            <w:vAlign w:val="center"/>
          </w:tcPr>
          <w:p>
            <w:pPr>
              <w:widowControl/>
              <w:ind w:firstLine="105" w:firstLineChars="50"/>
              <w:rPr>
                <w:kern w:val="0"/>
                <w:szCs w:val="21"/>
              </w:rPr>
            </w:pPr>
            <w:bookmarkStart w:id="21" w:name="_Hlk96937740"/>
            <w:r>
              <w:rPr>
                <w:kern w:val="0"/>
              </w:rPr>
              <w:t xml:space="preserve">Of which: Residential </w:t>
            </w:r>
            <w:r>
              <w:rPr>
                <w:rFonts w:hint="eastAsia"/>
                <w:kern w:val="0"/>
              </w:rPr>
              <w:t>B</w:t>
            </w:r>
            <w:r>
              <w:rPr>
                <w:kern w:val="0"/>
              </w:rPr>
              <w:t>uildings</w:t>
            </w:r>
          </w:p>
        </w:tc>
        <w:tc>
          <w:tcPr>
            <w:tcW w:w="1195" w:type="pct"/>
            <w:vAlign w:val="center"/>
          </w:tcPr>
          <w:p>
            <w:pPr>
              <w:widowControl/>
              <w:ind w:right="735" w:rightChars="350"/>
              <w:jc w:val="right"/>
              <w:rPr>
                <w:kern w:val="0"/>
                <w:szCs w:val="21"/>
              </w:rPr>
            </w:pPr>
            <w:r>
              <w:rPr>
                <w:rFonts w:hint="eastAsia"/>
                <w:kern w:val="0"/>
                <w:szCs w:val="21"/>
              </w:rPr>
              <w:t>8</w:t>
            </w:r>
            <w:r>
              <w:rPr>
                <w:kern w:val="0"/>
                <w:szCs w:val="21"/>
              </w:rPr>
              <w:t>54.4</w:t>
            </w:r>
          </w:p>
        </w:tc>
        <w:tc>
          <w:tcPr>
            <w:tcW w:w="956" w:type="pct"/>
            <w:vAlign w:val="center"/>
          </w:tcPr>
          <w:p>
            <w:pPr>
              <w:widowControl/>
              <w:ind w:right="840" w:rightChars="400"/>
              <w:jc w:val="right"/>
              <w:rPr>
                <w:kern w:val="0"/>
                <w:szCs w:val="21"/>
              </w:rPr>
            </w:pPr>
            <w:r>
              <w:rPr>
                <w:kern w:val="0"/>
                <w:szCs w:val="21"/>
              </w:rPr>
              <w:t>2.8</w:t>
            </w:r>
          </w:p>
        </w:tc>
      </w:tr>
      <w:bookmarkEnd w:id="21"/>
    </w:tbl>
    <w:p>
      <w:pPr>
        <w:rPr>
          <w:rFonts w:eastAsia="黑体"/>
          <w:b/>
          <w:sz w:val="28"/>
          <w:szCs w:val="28"/>
        </w:rPr>
      </w:pPr>
      <w:r>
        <w:rPr>
          <w:b/>
          <w:sz w:val="28"/>
          <w:szCs w:val="28"/>
        </w:rPr>
        <w:t>VII. Market Consumption</w:t>
      </w:r>
    </w:p>
    <w:p>
      <w:pPr>
        <w:rPr>
          <w:sz w:val="28"/>
          <w:szCs w:val="28"/>
        </w:rPr>
      </w:pPr>
      <w:r>
        <w:rPr>
          <w:sz w:val="28"/>
          <w:szCs w:val="28"/>
        </w:rPr>
        <w:t>The total market consumption in 2022 decreased by 4.9% over the previous year. Of which, service consumption declined by 2.9%; retail sales of consumer goods totaled RMB 1,379.42 billion,</w:t>
      </w:r>
      <w:r>
        <w:rPr>
          <w:color w:val="auto"/>
          <w:sz w:val="28"/>
          <w:szCs w:val="28"/>
          <w:shd w:val="clear" w:color="auto" w:fill="auto"/>
        </w:rPr>
        <w:t xml:space="preserve"> down by 7.2%. In wholesale and retail trade above designated size</w:t>
      </w:r>
      <w:r>
        <w:rPr>
          <w:rStyle w:val="18"/>
          <w:color w:val="auto"/>
          <w:sz w:val="28"/>
          <w:szCs w:val="28"/>
          <w:shd w:val="clear" w:color="auto" w:fill="auto"/>
        </w:rPr>
        <w:endnoteReference w:id="6" w:customMarkFollows="1"/>
        <w:t>[7]</w:t>
      </w:r>
      <w:r>
        <w:rPr>
          <w:color w:val="auto"/>
          <w:sz w:val="28"/>
          <w:szCs w:val="28"/>
          <w:shd w:val="clear" w:color="auto" w:fill="auto"/>
        </w:rPr>
        <w:t xml:space="preserve">, the retail sales of the cereal, oil and foodstuffs, and beverages relating to modest living consumption grew by 6.0% and 2.4% respectively; and the retail sales of gold, silver and jewelry, </w:t>
      </w:r>
      <w:r>
        <w:rPr>
          <w:sz w:val="28"/>
          <w:szCs w:val="28"/>
        </w:rPr>
        <w:t xml:space="preserve">and stationery and office supplies relating to upgraded consumption grew by 10.6% and 0.6% respectively; driven by policies such as the subsidies for replacement of new energy vehicle, the retail sales of new energy vehicles grew by 17.1%. </w:t>
      </w:r>
    </w:p>
    <w:p>
      <w:pPr>
        <w:jc w:val="center"/>
        <w:rPr>
          <w:b/>
          <w:bCs/>
          <w:sz w:val="24"/>
        </w:rPr>
      </w:pPr>
      <w:r>
        <w:rPr>
          <w:b/>
          <w:sz w:val="24"/>
        </w:rPr>
        <w:t>Table 11: Total Retail Sales of Consumer Goods in 20</w:t>
      </w:r>
      <w:r>
        <w:rPr>
          <w:rFonts w:hint="eastAsia"/>
          <w:b/>
          <w:sz w:val="24"/>
        </w:rPr>
        <w:t>2</w:t>
      </w:r>
      <w:r>
        <w:rPr>
          <w:b/>
          <w:sz w:val="24"/>
        </w:rPr>
        <w:t>2</w:t>
      </w:r>
    </w:p>
    <w:tbl>
      <w:tblPr>
        <w:tblStyle w:val="14"/>
        <w:tblW w:w="8280" w:type="dxa"/>
        <w:tblInd w:w="108"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969"/>
        <w:gridCol w:w="2410"/>
        <w:gridCol w:w="190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9" w:type="dxa"/>
            <w:vAlign w:val="center"/>
          </w:tcPr>
          <w:p>
            <w:pPr>
              <w:jc w:val="center"/>
              <w:rPr>
                <w:szCs w:val="21"/>
              </w:rPr>
            </w:pPr>
            <w:r>
              <w:rPr>
                <w:szCs w:val="21"/>
              </w:rPr>
              <w:t>Indicators</w:t>
            </w:r>
          </w:p>
        </w:tc>
        <w:tc>
          <w:tcPr>
            <w:tcW w:w="2410" w:type="dxa"/>
            <w:vAlign w:val="center"/>
          </w:tcPr>
          <w:p>
            <w:pPr>
              <w:jc w:val="center"/>
              <w:rPr>
                <w:szCs w:val="21"/>
              </w:rPr>
            </w:pPr>
            <w:r>
              <w:rPr>
                <w:szCs w:val="21"/>
              </w:rPr>
              <w:t>Total retail sales of consumer goods (RMB 100 million)</w:t>
            </w:r>
          </w:p>
        </w:tc>
        <w:tc>
          <w:tcPr>
            <w:tcW w:w="1901" w:type="dxa"/>
            <w:vAlign w:val="center"/>
          </w:tcPr>
          <w:p>
            <w:pPr>
              <w:jc w:val="center"/>
              <w:rPr>
                <w:szCs w:val="21"/>
              </w:rPr>
            </w:pPr>
            <w:r>
              <w:rPr>
                <w:szCs w:val="21"/>
              </w:rPr>
              <w:t>Increase over the previous year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9" w:type="dxa"/>
            <w:vAlign w:val="center"/>
          </w:tcPr>
          <w:p>
            <w:pPr>
              <w:jc w:val="center"/>
              <w:rPr>
                <w:szCs w:val="21"/>
              </w:rPr>
            </w:pPr>
            <w:r>
              <w:t>Total</w:t>
            </w:r>
          </w:p>
        </w:tc>
        <w:tc>
          <w:tcPr>
            <w:tcW w:w="2410" w:type="dxa"/>
            <w:vAlign w:val="center"/>
          </w:tcPr>
          <w:p>
            <w:pPr>
              <w:keepNext w:val="0"/>
              <w:keepLines w:val="0"/>
              <w:pageBreakBefore w:val="0"/>
              <w:widowControl/>
              <w:kinsoku/>
              <w:wordWrap/>
              <w:overflowPunct/>
              <w:topLinePunct w:val="0"/>
              <w:autoSpaceDE/>
              <w:autoSpaceDN/>
              <w:bidi w:val="0"/>
              <w:adjustRightInd/>
              <w:snapToGrid/>
              <w:ind w:right="210" w:rightChars="100"/>
              <w:jc w:val="right"/>
              <w:textAlignment w:val="auto"/>
              <w:rPr>
                <w:kern w:val="0"/>
                <w:szCs w:val="21"/>
              </w:rPr>
            </w:pPr>
            <w:r>
              <w:rPr>
                <w:kern w:val="0"/>
                <w:szCs w:val="21"/>
              </w:rPr>
              <w:t>13794.2</w:t>
            </w:r>
          </w:p>
        </w:tc>
        <w:tc>
          <w:tcPr>
            <w:tcW w:w="1901" w:type="dxa"/>
            <w:vAlign w:val="center"/>
          </w:tcPr>
          <w:p>
            <w:pPr>
              <w:keepNext w:val="0"/>
              <w:keepLines w:val="0"/>
              <w:pageBreakBefore w:val="0"/>
              <w:widowControl/>
              <w:kinsoku/>
              <w:wordWrap/>
              <w:overflowPunct/>
              <w:topLinePunct w:val="0"/>
              <w:autoSpaceDE/>
              <w:autoSpaceDN/>
              <w:bidi w:val="0"/>
              <w:adjustRightInd/>
              <w:snapToGrid/>
              <w:ind w:right="210" w:rightChars="100"/>
              <w:jc w:val="right"/>
              <w:textAlignment w:val="auto"/>
              <w:rPr>
                <w:kern w:val="0"/>
                <w:szCs w:val="21"/>
              </w:rPr>
            </w:pPr>
            <w:r>
              <w:rPr>
                <w:rFonts w:hint="eastAsia"/>
                <w:kern w:val="0"/>
                <w:szCs w:val="21"/>
              </w:rPr>
              <w:t>-</w:t>
            </w:r>
            <w:r>
              <w:rPr>
                <w:kern w:val="0"/>
                <w:szCs w:val="21"/>
              </w:rPr>
              <w:t>7.2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9" w:type="dxa"/>
            <w:vAlign w:val="center"/>
          </w:tcPr>
          <w:p>
            <w:pPr>
              <w:rPr>
                <w:szCs w:val="21"/>
              </w:rPr>
            </w:pPr>
            <w:r>
              <w:t>Grouped by Use</w:t>
            </w:r>
          </w:p>
        </w:tc>
        <w:tc>
          <w:tcPr>
            <w:tcW w:w="2410" w:type="dxa"/>
            <w:vAlign w:val="center"/>
          </w:tcPr>
          <w:p>
            <w:pPr>
              <w:keepNext w:val="0"/>
              <w:keepLines w:val="0"/>
              <w:pageBreakBefore w:val="0"/>
              <w:widowControl/>
              <w:kinsoku/>
              <w:wordWrap/>
              <w:overflowPunct/>
              <w:topLinePunct w:val="0"/>
              <w:autoSpaceDE/>
              <w:autoSpaceDN/>
              <w:bidi w:val="0"/>
              <w:adjustRightInd/>
              <w:snapToGrid/>
              <w:ind w:right="210" w:rightChars="100"/>
              <w:jc w:val="right"/>
              <w:textAlignment w:val="auto"/>
              <w:rPr>
                <w:kern w:val="0"/>
                <w:szCs w:val="21"/>
              </w:rPr>
            </w:pPr>
          </w:p>
        </w:tc>
        <w:tc>
          <w:tcPr>
            <w:tcW w:w="1901" w:type="dxa"/>
            <w:vAlign w:val="center"/>
          </w:tcPr>
          <w:p>
            <w:pPr>
              <w:keepNext w:val="0"/>
              <w:keepLines w:val="0"/>
              <w:pageBreakBefore w:val="0"/>
              <w:widowControl/>
              <w:kinsoku/>
              <w:wordWrap/>
              <w:overflowPunct/>
              <w:topLinePunct w:val="0"/>
              <w:autoSpaceDE/>
              <w:autoSpaceDN/>
              <w:bidi w:val="0"/>
              <w:adjustRightInd/>
              <w:snapToGrid/>
              <w:ind w:right="210" w:rightChars="100"/>
              <w:jc w:val="right"/>
              <w:textAlignment w:val="auto"/>
              <w:rPr>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9" w:type="dxa"/>
            <w:vAlign w:val="center"/>
          </w:tcPr>
          <w:p>
            <w:pPr>
              <w:ind w:firstLine="174" w:firstLineChars="83"/>
              <w:rPr>
                <w:szCs w:val="21"/>
              </w:rPr>
            </w:pPr>
            <w:r>
              <w:t>Eating</w:t>
            </w:r>
          </w:p>
        </w:tc>
        <w:tc>
          <w:tcPr>
            <w:tcW w:w="2410" w:type="dxa"/>
            <w:vAlign w:val="center"/>
          </w:tcPr>
          <w:p>
            <w:pPr>
              <w:keepNext w:val="0"/>
              <w:keepLines w:val="0"/>
              <w:pageBreakBefore w:val="0"/>
              <w:widowControl/>
              <w:kinsoku/>
              <w:wordWrap/>
              <w:overflowPunct/>
              <w:topLinePunct w:val="0"/>
              <w:autoSpaceDE/>
              <w:autoSpaceDN/>
              <w:bidi w:val="0"/>
              <w:adjustRightInd/>
              <w:snapToGrid/>
              <w:ind w:right="210" w:rightChars="100"/>
              <w:jc w:val="right"/>
              <w:textAlignment w:val="auto"/>
              <w:rPr>
                <w:kern w:val="0"/>
                <w:szCs w:val="21"/>
              </w:rPr>
            </w:pPr>
            <w:r>
              <w:rPr>
                <w:kern w:val="0"/>
                <w:szCs w:val="21"/>
              </w:rPr>
              <w:t>2832</w:t>
            </w:r>
            <w:r>
              <w:rPr>
                <w:rFonts w:hint="eastAsia"/>
                <w:kern w:val="0"/>
                <w:szCs w:val="21"/>
              </w:rPr>
              <w:t>.</w:t>
            </w:r>
            <w:r>
              <w:rPr>
                <w:kern w:val="0"/>
                <w:szCs w:val="21"/>
              </w:rPr>
              <w:t>4</w:t>
            </w:r>
          </w:p>
        </w:tc>
        <w:tc>
          <w:tcPr>
            <w:tcW w:w="1901" w:type="dxa"/>
            <w:vAlign w:val="center"/>
          </w:tcPr>
          <w:p>
            <w:pPr>
              <w:keepNext w:val="0"/>
              <w:keepLines w:val="0"/>
              <w:pageBreakBefore w:val="0"/>
              <w:widowControl/>
              <w:kinsoku/>
              <w:wordWrap/>
              <w:overflowPunct/>
              <w:topLinePunct w:val="0"/>
              <w:autoSpaceDE/>
              <w:autoSpaceDN/>
              <w:bidi w:val="0"/>
              <w:adjustRightInd/>
              <w:snapToGrid/>
              <w:ind w:right="210" w:rightChars="100"/>
              <w:jc w:val="right"/>
              <w:textAlignment w:val="auto"/>
              <w:rPr>
                <w:kern w:val="0"/>
                <w:szCs w:val="21"/>
              </w:rPr>
            </w:pPr>
            <w:r>
              <w:rPr>
                <w:kern w:val="0"/>
                <w:szCs w:val="21"/>
              </w:rPr>
              <w:t>-4</w:t>
            </w:r>
            <w:r>
              <w:rPr>
                <w:rFonts w:hint="eastAsia"/>
                <w:kern w:val="0"/>
                <w:szCs w:val="21"/>
              </w:rPr>
              <w:t>.</w:t>
            </w:r>
            <w:r>
              <w:rPr>
                <w:kern w:val="0"/>
                <w:szCs w:val="21"/>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9" w:type="dxa"/>
            <w:vAlign w:val="center"/>
          </w:tcPr>
          <w:p>
            <w:pPr>
              <w:ind w:firstLine="174" w:firstLineChars="83"/>
              <w:rPr>
                <w:szCs w:val="21"/>
              </w:rPr>
            </w:pPr>
            <w:r>
              <w:t>Clothing</w:t>
            </w:r>
          </w:p>
        </w:tc>
        <w:tc>
          <w:tcPr>
            <w:tcW w:w="2410" w:type="dxa"/>
            <w:vAlign w:val="center"/>
          </w:tcPr>
          <w:p>
            <w:pPr>
              <w:keepNext w:val="0"/>
              <w:keepLines w:val="0"/>
              <w:pageBreakBefore w:val="0"/>
              <w:widowControl/>
              <w:kinsoku/>
              <w:wordWrap/>
              <w:overflowPunct/>
              <w:topLinePunct w:val="0"/>
              <w:autoSpaceDE/>
              <w:autoSpaceDN/>
              <w:bidi w:val="0"/>
              <w:adjustRightInd/>
              <w:snapToGrid/>
              <w:ind w:right="210" w:rightChars="100"/>
              <w:jc w:val="right"/>
              <w:textAlignment w:val="auto"/>
              <w:rPr>
                <w:kern w:val="0"/>
                <w:szCs w:val="21"/>
              </w:rPr>
            </w:pPr>
            <w:r>
              <w:rPr>
                <w:kern w:val="0"/>
                <w:szCs w:val="21"/>
              </w:rPr>
              <w:t>657</w:t>
            </w:r>
            <w:r>
              <w:rPr>
                <w:rFonts w:hint="eastAsia"/>
                <w:kern w:val="0"/>
                <w:szCs w:val="21"/>
              </w:rPr>
              <w:t>.</w:t>
            </w:r>
            <w:r>
              <w:rPr>
                <w:kern w:val="0"/>
                <w:szCs w:val="21"/>
              </w:rPr>
              <w:t>0</w:t>
            </w:r>
          </w:p>
        </w:tc>
        <w:tc>
          <w:tcPr>
            <w:tcW w:w="1901" w:type="dxa"/>
            <w:vAlign w:val="center"/>
          </w:tcPr>
          <w:p>
            <w:pPr>
              <w:keepNext w:val="0"/>
              <w:keepLines w:val="0"/>
              <w:pageBreakBefore w:val="0"/>
              <w:widowControl/>
              <w:kinsoku/>
              <w:wordWrap/>
              <w:overflowPunct/>
              <w:topLinePunct w:val="0"/>
              <w:autoSpaceDE/>
              <w:autoSpaceDN/>
              <w:bidi w:val="0"/>
              <w:adjustRightInd/>
              <w:snapToGrid/>
              <w:ind w:right="210" w:rightChars="100"/>
              <w:jc w:val="right"/>
              <w:textAlignment w:val="auto"/>
              <w:rPr>
                <w:kern w:val="0"/>
                <w:szCs w:val="21"/>
              </w:rPr>
            </w:pPr>
            <w:r>
              <w:rPr>
                <w:kern w:val="0"/>
                <w:szCs w:val="21"/>
              </w:rPr>
              <w:t>-18</w:t>
            </w:r>
            <w:r>
              <w:rPr>
                <w:rFonts w:hint="eastAsia"/>
                <w:kern w:val="0"/>
                <w:szCs w:val="21"/>
              </w:rPr>
              <w:t>.</w:t>
            </w:r>
            <w:r>
              <w:rPr>
                <w:kern w:val="0"/>
                <w:szCs w:val="21"/>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9" w:type="dxa"/>
            <w:vAlign w:val="center"/>
          </w:tcPr>
          <w:p>
            <w:pPr>
              <w:ind w:firstLine="174" w:firstLineChars="83"/>
              <w:rPr>
                <w:szCs w:val="21"/>
              </w:rPr>
            </w:pPr>
            <w:r>
              <w:t xml:space="preserve">Daily </w:t>
            </w:r>
            <w:r>
              <w:rPr>
                <w:rFonts w:hint="eastAsia"/>
              </w:rPr>
              <w:t>U</w:t>
            </w:r>
            <w:r>
              <w:t>se</w:t>
            </w:r>
          </w:p>
        </w:tc>
        <w:tc>
          <w:tcPr>
            <w:tcW w:w="2410" w:type="dxa"/>
            <w:vAlign w:val="center"/>
          </w:tcPr>
          <w:p>
            <w:pPr>
              <w:keepNext w:val="0"/>
              <w:keepLines w:val="0"/>
              <w:pageBreakBefore w:val="0"/>
              <w:widowControl/>
              <w:kinsoku/>
              <w:wordWrap/>
              <w:overflowPunct/>
              <w:topLinePunct w:val="0"/>
              <w:autoSpaceDE/>
              <w:autoSpaceDN/>
              <w:bidi w:val="0"/>
              <w:adjustRightInd/>
              <w:snapToGrid/>
              <w:ind w:right="210" w:rightChars="100"/>
              <w:jc w:val="right"/>
              <w:textAlignment w:val="auto"/>
              <w:rPr>
                <w:kern w:val="0"/>
                <w:szCs w:val="21"/>
              </w:rPr>
            </w:pPr>
            <w:r>
              <w:rPr>
                <w:kern w:val="0"/>
                <w:szCs w:val="21"/>
              </w:rPr>
              <w:t>9723</w:t>
            </w:r>
            <w:r>
              <w:rPr>
                <w:rFonts w:hint="eastAsia"/>
                <w:kern w:val="0"/>
                <w:szCs w:val="21"/>
              </w:rPr>
              <w:t>.</w:t>
            </w:r>
            <w:r>
              <w:rPr>
                <w:kern w:val="0"/>
                <w:szCs w:val="21"/>
              </w:rPr>
              <w:t>6</w:t>
            </w:r>
          </w:p>
        </w:tc>
        <w:tc>
          <w:tcPr>
            <w:tcW w:w="1901" w:type="dxa"/>
            <w:vAlign w:val="center"/>
          </w:tcPr>
          <w:p>
            <w:pPr>
              <w:keepNext w:val="0"/>
              <w:keepLines w:val="0"/>
              <w:pageBreakBefore w:val="0"/>
              <w:widowControl/>
              <w:kinsoku/>
              <w:wordWrap/>
              <w:overflowPunct/>
              <w:topLinePunct w:val="0"/>
              <w:autoSpaceDE/>
              <w:autoSpaceDN/>
              <w:bidi w:val="0"/>
              <w:adjustRightInd/>
              <w:snapToGrid/>
              <w:ind w:right="210" w:rightChars="100"/>
              <w:jc w:val="right"/>
              <w:textAlignment w:val="auto"/>
              <w:rPr>
                <w:kern w:val="0"/>
                <w:szCs w:val="21"/>
              </w:rPr>
            </w:pPr>
            <w:r>
              <w:rPr>
                <w:kern w:val="0"/>
                <w:szCs w:val="21"/>
              </w:rPr>
              <w:t>-7</w:t>
            </w:r>
            <w:r>
              <w:rPr>
                <w:rFonts w:hint="eastAsia"/>
                <w:kern w:val="0"/>
                <w:szCs w:val="21"/>
              </w:rPr>
              <w:t>.</w:t>
            </w:r>
            <w:r>
              <w:rPr>
                <w:kern w:val="0"/>
                <w:szCs w:val="21"/>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9" w:type="dxa"/>
            <w:vAlign w:val="center"/>
          </w:tcPr>
          <w:p>
            <w:pPr>
              <w:ind w:firstLine="174" w:firstLineChars="83"/>
              <w:rPr>
                <w:szCs w:val="21"/>
              </w:rPr>
            </w:pPr>
            <w:r>
              <w:t>Fuels</w:t>
            </w:r>
          </w:p>
        </w:tc>
        <w:tc>
          <w:tcPr>
            <w:tcW w:w="2410" w:type="dxa"/>
            <w:vAlign w:val="center"/>
          </w:tcPr>
          <w:p>
            <w:pPr>
              <w:keepNext w:val="0"/>
              <w:keepLines w:val="0"/>
              <w:pageBreakBefore w:val="0"/>
              <w:widowControl/>
              <w:kinsoku/>
              <w:wordWrap/>
              <w:overflowPunct/>
              <w:topLinePunct w:val="0"/>
              <w:autoSpaceDE/>
              <w:autoSpaceDN/>
              <w:bidi w:val="0"/>
              <w:adjustRightInd/>
              <w:snapToGrid/>
              <w:ind w:right="210" w:rightChars="100"/>
              <w:jc w:val="right"/>
              <w:textAlignment w:val="auto"/>
              <w:rPr>
                <w:kern w:val="0"/>
                <w:szCs w:val="21"/>
              </w:rPr>
            </w:pPr>
            <w:r>
              <w:rPr>
                <w:kern w:val="0"/>
                <w:szCs w:val="21"/>
              </w:rPr>
              <w:t>581</w:t>
            </w:r>
            <w:r>
              <w:rPr>
                <w:rFonts w:hint="eastAsia"/>
                <w:kern w:val="0"/>
                <w:szCs w:val="21"/>
              </w:rPr>
              <w:t>.</w:t>
            </w:r>
            <w:r>
              <w:rPr>
                <w:kern w:val="0"/>
                <w:szCs w:val="21"/>
              </w:rPr>
              <w:t>2</w:t>
            </w:r>
          </w:p>
        </w:tc>
        <w:tc>
          <w:tcPr>
            <w:tcW w:w="1901" w:type="dxa"/>
            <w:vAlign w:val="center"/>
          </w:tcPr>
          <w:p>
            <w:pPr>
              <w:keepNext w:val="0"/>
              <w:keepLines w:val="0"/>
              <w:pageBreakBefore w:val="0"/>
              <w:widowControl/>
              <w:kinsoku/>
              <w:wordWrap/>
              <w:overflowPunct/>
              <w:topLinePunct w:val="0"/>
              <w:autoSpaceDE/>
              <w:autoSpaceDN/>
              <w:bidi w:val="0"/>
              <w:adjustRightInd/>
              <w:snapToGrid/>
              <w:ind w:right="210" w:rightChars="100"/>
              <w:jc w:val="right"/>
              <w:textAlignment w:val="auto"/>
              <w:rPr>
                <w:kern w:val="0"/>
                <w:szCs w:val="21"/>
              </w:rPr>
            </w:pPr>
            <w:r>
              <w:rPr>
                <w:kern w:val="0"/>
                <w:szCs w:val="21"/>
              </w:rPr>
              <w:t>-2</w:t>
            </w:r>
            <w:r>
              <w:rPr>
                <w:rFonts w:hint="eastAsia"/>
                <w:kern w:val="0"/>
                <w:szCs w:val="21"/>
              </w:rPr>
              <w:t>.</w:t>
            </w:r>
            <w:r>
              <w:rPr>
                <w:kern w:val="0"/>
                <w:szCs w:val="21"/>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9" w:type="dxa"/>
            <w:vAlign w:val="center"/>
          </w:tcPr>
          <w:p>
            <w:pPr>
              <w:rPr>
                <w:szCs w:val="21"/>
              </w:rPr>
            </w:pPr>
            <w:r>
              <w:t xml:space="preserve">Grouped by </w:t>
            </w:r>
            <w:r>
              <w:rPr>
                <w:rFonts w:hint="eastAsia"/>
              </w:rPr>
              <w:t>C</w:t>
            </w:r>
            <w:r>
              <w:t xml:space="preserve">onsumption </w:t>
            </w:r>
            <w:r>
              <w:rPr>
                <w:rFonts w:hint="eastAsia"/>
              </w:rPr>
              <w:t>P</w:t>
            </w:r>
            <w:r>
              <w:t>attern</w:t>
            </w:r>
          </w:p>
        </w:tc>
        <w:tc>
          <w:tcPr>
            <w:tcW w:w="2410" w:type="dxa"/>
            <w:vAlign w:val="center"/>
          </w:tcPr>
          <w:p>
            <w:pPr>
              <w:keepNext w:val="0"/>
              <w:keepLines w:val="0"/>
              <w:pageBreakBefore w:val="0"/>
              <w:widowControl/>
              <w:kinsoku/>
              <w:wordWrap/>
              <w:overflowPunct/>
              <w:topLinePunct w:val="0"/>
              <w:autoSpaceDE/>
              <w:autoSpaceDN/>
              <w:bidi w:val="0"/>
              <w:adjustRightInd/>
              <w:snapToGrid/>
              <w:ind w:right="210" w:rightChars="100"/>
              <w:jc w:val="right"/>
              <w:textAlignment w:val="auto"/>
              <w:rPr>
                <w:kern w:val="0"/>
                <w:szCs w:val="21"/>
              </w:rPr>
            </w:pPr>
          </w:p>
        </w:tc>
        <w:tc>
          <w:tcPr>
            <w:tcW w:w="1901" w:type="dxa"/>
            <w:vAlign w:val="center"/>
          </w:tcPr>
          <w:p>
            <w:pPr>
              <w:keepNext w:val="0"/>
              <w:keepLines w:val="0"/>
              <w:pageBreakBefore w:val="0"/>
              <w:widowControl/>
              <w:kinsoku/>
              <w:wordWrap/>
              <w:overflowPunct/>
              <w:topLinePunct w:val="0"/>
              <w:autoSpaceDE/>
              <w:autoSpaceDN/>
              <w:bidi w:val="0"/>
              <w:adjustRightInd/>
              <w:snapToGrid/>
              <w:ind w:right="210" w:rightChars="100"/>
              <w:jc w:val="right"/>
              <w:textAlignment w:val="auto"/>
              <w:rPr>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9" w:type="dxa"/>
            <w:vAlign w:val="center"/>
          </w:tcPr>
          <w:p>
            <w:pPr>
              <w:ind w:firstLine="174" w:firstLineChars="83"/>
              <w:rPr>
                <w:szCs w:val="21"/>
              </w:rPr>
            </w:pPr>
            <w:r>
              <w:t xml:space="preserve">Catering </w:t>
            </w:r>
            <w:r>
              <w:rPr>
                <w:rFonts w:hint="eastAsia"/>
              </w:rPr>
              <w:t>R</w:t>
            </w:r>
            <w:r>
              <w:t>evenue</w:t>
            </w:r>
          </w:p>
        </w:tc>
        <w:tc>
          <w:tcPr>
            <w:tcW w:w="2410" w:type="dxa"/>
            <w:vAlign w:val="center"/>
          </w:tcPr>
          <w:p>
            <w:pPr>
              <w:keepNext w:val="0"/>
              <w:keepLines w:val="0"/>
              <w:pageBreakBefore w:val="0"/>
              <w:widowControl/>
              <w:kinsoku/>
              <w:wordWrap/>
              <w:overflowPunct/>
              <w:topLinePunct w:val="0"/>
              <w:autoSpaceDE/>
              <w:autoSpaceDN/>
              <w:bidi w:val="0"/>
              <w:adjustRightInd/>
              <w:snapToGrid/>
              <w:ind w:right="210" w:rightChars="100"/>
              <w:jc w:val="right"/>
              <w:textAlignment w:val="auto"/>
              <w:rPr>
                <w:kern w:val="0"/>
                <w:szCs w:val="21"/>
              </w:rPr>
            </w:pPr>
            <w:r>
              <w:rPr>
                <w:kern w:val="0"/>
                <w:szCs w:val="21"/>
              </w:rPr>
              <w:t>961</w:t>
            </w:r>
            <w:r>
              <w:rPr>
                <w:rFonts w:hint="eastAsia"/>
                <w:kern w:val="0"/>
                <w:szCs w:val="21"/>
              </w:rPr>
              <w:t>.</w:t>
            </w:r>
            <w:r>
              <w:rPr>
                <w:kern w:val="0"/>
                <w:szCs w:val="21"/>
              </w:rPr>
              <w:t>6</w:t>
            </w:r>
          </w:p>
        </w:tc>
        <w:tc>
          <w:tcPr>
            <w:tcW w:w="1901" w:type="dxa"/>
            <w:vAlign w:val="center"/>
          </w:tcPr>
          <w:p>
            <w:pPr>
              <w:keepNext w:val="0"/>
              <w:keepLines w:val="0"/>
              <w:pageBreakBefore w:val="0"/>
              <w:widowControl/>
              <w:kinsoku/>
              <w:wordWrap/>
              <w:overflowPunct/>
              <w:topLinePunct w:val="0"/>
              <w:autoSpaceDE/>
              <w:autoSpaceDN/>
              <w:bidi w:val="0"/>
              <w:adjustRightInd/>
              <w:snapToGrid/>
              <w:ind w:right="210" w:rightChars="100"/>
              <w:jc w:val="right"/>
              <w:textAlignment w:val="auto"/>
              <w:rPr>
                <w:kern w:val="0"/>
                <w:szCs w:val="21"/>
              </w:rPr>
            </w:pPr>
            <w:r>
              <w:rPr>
                <w:kern w:val="0"/>
                <w:szCs w:val="21"/>
              </w:rPr>
              <w:t>-15</w:t>
            </w:r>
            <w:r>
              <w:rPr>
                <w:rFonts w:hint="eastAsia"/>
                <w:kern w:val="0"/>
                <w:szCs w:val="21"/>
              </w:rPr>
              <w:t>.</w:t>
            </w:r>
            <w:r>
              <w:rPr>
                <w:kern w:val="0"/>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9" w:type="dxa"/>
            <w:vAlign w:val="center"/>
          </w:tcPr>
          <w:p>
            <w:pPr>
              <w:ind w:firstLine="174" w:firstLineChars="83"/>
              <w:rPr>
                <w:szCs w:val="21"/>
              </w:rPr>
            </w:pPr>
            <w:r>
              <w:t xml:space="preserve">Commodity </w:t>
            </w:r>
            <w:r>
              <w:rPr>
                <w:rFonts w:hint="eastAsia"/>
              </w:rPr>
              <w:t>R</w:t>
            </w:r>
            <w:r>
              <w:t xml:space="preserve">etail </w:t>
            </w:r>
            <w:r>
              <w:rPr>
                <w:rFonts w:hint="eastAsia"/>
              </w:rPr>
              <w:t>R</w:t>
            </w:r>
            <w:r>
              <w:t>evenue</w:t>
            </w:r>
          </w:p>
        </w:tc>
        <w:tc>
          <w:tcPr>
            <w:tcW w:w="2410" w:type="dxa"/>
            <w:vAlign w:val="center"/>
          </w:tcPr>
          <w:p>
            <w:pPr>
              <w:keepNext w:val="0"/>
              <w:keepLines w:val="0"/>
              <w:pageBreakBefore w:val="0"/>
              <w:widowControl/>
              <w:kinsoku/>
              <w:wordWrap/>
              <w:overflowPunct/>
              <w:topLinePunct w:val="0"/>
              <w:autoSpaceDE/>
              <w:autoSpaceDN/>
              <w:bidi w:val="0"/>
              <w:adjustRightInd/>
              <w:snapToGrid/>
              <w:ind w:right="210" w:rightChars="100"/>
              <w:jc w:val="right"/>
              <w:textAlignment w:val="auto"/>
              <w:rPr>
                <w:kern w:val="0"/>
                <w:szCs w:val="21"/>
              </w:rPr>
            </w:pPr>
            <w:r>
              <w:rPr>
                <w:kern w:val="0"/>
                <w:szCs w:val="21"/>
              </w:rPr>
              <w:t>12832</w:t>
            </w:r>
            <w:r>
              <w:rPr>
                <w:rFonts w:hint="eastAsia"/>
                <w:kern w:val="0"/>
                <w:szCs w:val="21"/>
              </w:rPr>
              <w:t>.</w:t>
            </w:r>
            <w:r>
              <w:rPr>
                <w:kern w:val="0"/>
                <w:szCs w:val="21"/>
              </w:rPr>
              <w:t>6</w:t>
            </w:r>
          </w:p>
        </w:tc>
        <w:tc>
          <w:tcPr>
            <w:tcW w:w="1901" w:type="dxa"/>
            <w:vAlign w:val="center"/>
          </w:tcPr>
          <w:p>
            <w:pPr>
              <w:keepNext w:val="0"/>
              <w:keepLines w:val="0"/>
              <w:pageBreakBefore w:val="0"/>
              <w:widowControl/>
              <w:kinsoku/>
              <w:wordWrap/>
              <w:overflowPunct/>
              <w:topLinePunct w:val="0"/>
              <w:autoSpaceDE/>
              <w:autoSpaceDN/>
              <w:bidi w:val="0"/>
              <w:adjustRightInd/>
              <w:snapToGrid/>
              <w:ind w:right="210" w:rightChars="100"/>
              <w:jc w:val="right"/>
              <w:textAlignment w:val="auto"/>
              <w:rPr>
                <w:kern w:val="0"/>
                <w:szCs w:val="21"/>
              </w:rPr>
            </w:pPr>
            <w:r>
              <w:rPr>
                <w:kern w:val="0"/>
                <w:szCs w:val="21"/>
              </w:rPr>
              <w:t>-6.6</w:t>
            </w:r>
          </w:p>
        </w:tc>
      </w:tr>
    </w:tbl>
    <w:p>
      <w:pPr>
        <w:jc w:val="center"/>
        <w:rPr>
          <w:b/>
          <w:sz w:val="24"/>
        </w:rPr>
      </w:pPr>
    </w:p>
    <w:p>
      <w:pPr>
        <w:jc w:val="center"/>
        <w:rPr>
          <w:b/>
          <w:sz w:val="24"/>
        </w:rPr>
      </w:pPr>
      <w:r>
        <w:rPr>
          <w:b/>
          <w:sz w:val="24"/>
        </w:rPr>
        <w:t xml:space="preserve">Figure 5: Total Retail </w:t>
      </w:r>
      <w:r>
        <w:rPr>
          <w:rFonts w:hint="eastAsia"/>
          <w:b/>
          <w:sz w:val="24"/>
        </w:rPr>
        <w:t>Sales</w:t>
      </w:r>
      <w:r>
        <w:rPr>
          <w:b/>
          <w:sz w:val="24"/>
        </w:rPr>
        <w:t xml:space="preserve"> of Consumer Goods and Growth Rates from 2018 to 20</w:t>
      </w:r>
      <w:r>
        <w:rPr>
          <w:rFonts w:hint="eastAsia"/>
          <w:b/>
          <w:sz w:val="24"/>
        </w:rPr>
        <w:t>2</w:t>
      </w:r>
      <w:r>
        <w:rPr>
          <w:b/>
          <w:sz w:val="24"/>
        </w:rPr>
        <w:t>2</w:t>
      </w:r>
    </w:p>
    <w:bookmarkEnd w:id="8"/>
    <w:p>
      <w:pPr>
        <w:jc w:val="center"/>
        <w:rPr>
          <w:rFonts w:ascii="宋体" w:hAnsi="宋体"/>
          <w:b/>
          <w:sz w:val="28"/>
          <w:szCs w:val="28"/>
        </w:rPr>
      </w:pPr>
      <w:bookmarkStart w:id="22" w:name="_Toc379894714"/>
      <w:r>
        <w:drawing>
          <wp:inline distT="0" distB="0" distL="0" distR="0">
            <wp:extent cx="5412105" cy="3004820"/>
            <wp:effectExtent l="0" t="0" r="17145" b="5080"/>
            <wp:docPr id="77" name="图表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outlineLvl w:val="0"/>
        <w:rPr>
          <w:rFonts w:eastAsia="仿宋_GB2312"/>
          <w:b/>
          <w:sz w:val="28"/>
          <w:szCs w:val="28"/>
        </w:rPr>
      </w:pPr>
      <w:r>
        <w:rPr>
          <w:b/>
          <w:sz w:val="28"/>
          <w:szCs w:val="28"/>
        </w:rPr>
        <w:t>VIII.</w:t>
      </w:r>
      <w:r>
        <w:rPr>
          <w:rFonts w:eastAsia="仿宋_GB2312"/>
          <w:b/>
          <w:sz w:val="28"/>
          <w:szCs w:val="28"/>
        </w:rPr>
        <w:t xml:space="preserve"> External Economic Relations</w:t>
      </w:r>
    </w:p>
    <w:p>
      <w:pPr>
        <w:widowControl/>
        <w:rPr>
          <w:sz w:val="28"/>
          <w:szCs w:val="28"/>
        </w:rPr>
      </w:pPr>
      <w:r>
        <w:rPr>
          <w:sz w:val="28"/>
          <w:szCs w:val="28"/>
        </w:rPr>
        <w:t>Total imports and exports of Beijing in 20</w:t>
      </w:r>
      <w:r>
        <w:rPr>
          <w:rFonts w:hint="eastAsia"/>
          <w:sz w:val="28"/>
          <w:szCs w:val="28"/>
        </w:rPr>
        <w:t>2</w:t>
      </w:r>
      <w:r>
        <w:rPr>
          <w:sz w:val="28"/>
          <w:szCs w:val="28"/>
        </w:rPr>
        <w:t>2 amounted to RMB 3,644.55 billion, up by 19</w:t>
      </w:r>
      <w:r>
        <w:rPr>
          <w:rFonts w:hint="eastAsia"/>
          <w:sz w:val="28"/>
          <w:szCs w:val="28"/>
        </w:rPr>
        <w:t>.</w:t>
      </w:r>
      <w:r>
        <w:rPr>
          <w:sz w:val="28"/>
          <w:szCs w:val="28"/>
        </w:rPr>
        <w:t>7% over the previous year. Of which, imports hit RMB 3,055.55 billion, up by 25.7%</w:t>
      </w:r>
      <w:r>
        <w:rPr>
          <w:rFonts w:hint="eastAsia"/>
          <w:sz w:val="28"/>
          <w:szCs w:val="28"/>
        </w:rPr>
        <w:t xml:space="preserve">; </w:t>
      </w:r>
      <w:r>
        <w:rPr>
          <w:sz w:val="28"/>
          <w:szCs w:val="28"/>
        </w:rPr>
        <w:t>exports totaled</w:t>
      </w:r>
      <w:r>
        <w:rPr>
          <w:rFonts w:hint="eastAsia"/>
          <w:sz w:val="28"/>
          <w:szCs w:val="28"/>
        </w:rPr>
        <w:t xml:space="preserve"> RMB </w:t>
      </w:r>
      <w:r>
        <w:rPr>
          <w:sz w:val="28"/>
          <w:szCs w:val="28"/>
        </w:rPr>
        <w:t>589.00</w:t>
      </w:r>
      <w:r>
        <w:rPr>
          <w:rFonts w:hint="eastAsia"/>
          <w:sz w:val="28"/>
          <w:szCs w:val="28"/>
        </w:rPr>
        <w:t xml:space="preserve"> billion</w:t>
      </w:r>
      <w:r>
        <w:rPr>
          <w:sz w:val="28"/>
          <w:szCs w:val="28"/>
        </w:rPr>
        <w:t>, down by 3.8%.</w:t>
      </w:r>
    </w:p>
    <w:p>
      <w:pPr>
        <w:jc w:val="center"/>
        <w:rPr>
          <w:b/>
          <w:sz w:val="24"/>
        </w:rPr>
      </w:pPr>
      <w:r>
        <w:rPr>
          <w:b/>
          <w:sz w:val="24"/>
        </w:rPr>
        <w:t xml:space="preserve">Figure 6: Total </w:t>
      </w:r>
      <w:r>
        <w:rPr>
          <w:rFonts w:hint="eastAsia"/>
          <w:b/>
          <w:sz w:val="24"/>
        </w:rPr>
        <w:t>Value of Imports and Exports</w:t>
      </w:r>
      <w:r>
        <w:rPr>
          <w:b/>
          <w:sz w:val="24"/>
        </w:rPr>
        <w:t xml:space="preserve"> from 2018 to 20</w:t>
      </w:r>
      <w:r>
        <w:rPr>
          <w:rFonts w:hint="eastAsia"/>
          <w:b/>
          <w:sz w:val="24"/>
        </w:rPr>
        <w:t>2</w:t>
      </w:r>
      <w:bookmarkEnd w:id="22"/>
      <w:r>
        <w:rPr>
          <w:b/>
          <w:sz w:val="24"/>
        </w:rPr>
        <w:t>2</w:t>
      </w:r>
    </w:p>
    <w:p>
      <w:pPr>
        <w:widowControl/>
        <w:adjustRightInd w:val="0"/>
        <w:snapToGrid w:val="0"/>
        <w:jc w:val="center"/>
        <w:rPr>
          <w:rFonts w:ascii="仿宋_GB2312" w:eastAsia="仿宋_GB2312"/>
          <w:spacing w:val="-6"/>
          <w:sz w:val="32"/>
          <w:szCs w:val="32"/>
        </w:rPr>
      </w:pPr>
      <w:r>
        <w:drawing>
          <wp:inline distT="0" distB="0" distL="114300" distR="114300">
            <wp:extent cx="5465445" cy="2559050"/>
            <wp:effectExtent l="4445" t="4445" r="16510" b="8255"/>
            <wp:docPr id="25614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widowControl/>
        <w:rPr>
          <w:rFonts w:eastAsia="仿宋_GB2312"/>
          <w:sz w:val="28"/>
          <w:szCs w:val="28"/>
        </w:rPr>
      </w:pPr>
      <w:r>
        <w:rPr>
          <w:rFonts w:hint="eastAsia"/>
          <w:sz w:val="28"/>
          <w:szCs w:val="28"/>
        </w:rPr>
        <w:t>In 202</w:t>
      </w:r>
      <w:r>
        <w:rPr>
          <w:sz w:val="28"/>
          <w:szCs w:val="28"/>
        </w:rPr>
        <w:t>2</w:t>
      </w:r>
      <w:r>
        <w:rPr>
          <w:rFonts w:hint="eastAsia"/>
          <w:sz w:val="28"/>
          <w:szCs w:val="28"/>
        </w:rPr>
        <w:t>, f</w:t>
      </w:r>
      <w:r>
        <w:rPr>
          <w:sz w:val="28"/>
          <w:szCs w:val="28"/>
        </w:rPr>
        <w:t>oreign direct investment in actual use amounted to USD 17.41 billion, up by 12.7%</w:t>
      </w:r>
      <w:r>
        <w:rPr>
          <w:rFonts w:hint="eastAsia"/>
          <w:sz w:val="28"/>
          <w:szCs w:val="28"/>
        </w:rPr>
        <w:t xml:space="preserve"> over the previous year</w:t>
      </w:r>
      <w:r>
        <w:rPr>
          <w:sz w:val="28"/>
          <w:szCs w:val="28"/>
        </w:rPr>
        <w:t xml:space="preserve"> on comparable basis</w:t>
      </w:r>
      <w:r>
        <w:rPr>
          <w:rStyle w:val="18"/>
          <w:sz w:val="28"/>
          <w:szCs w:val="28"/>
        </w:rPr>
        <w:endnoteReference w:id="7" w:customMarkFollows="1"/>
        <w:t>[8]</w:t>
      </w:r>
      <w:r>
        <w:rPr>
          <w:sz w:val="28"/>
          <w:szCs w:val="28"/>
        </w:rPr>
        <w:t xml:space="preserve">. Of which, the amount used in </w:t>
      </w:r>
      <w:r>
        <w:rPr>
          <w:rFonts w:hint="eastAsia"/>
          <w:sz w:val="28"/>
          <w:szCs w:val="28"/>
        </w:rPr>
        <w:t>t</w:t>
      </w:r>
      <w:r>
        <w:rPr>
          <w:sz w:val="28"/>
          <w:szCs w:val="28"/>
        </w:rPr>
        <w:t>he sector of scientific research and development, technical services totaled USD 6.98 billion, accounting for 40.1%</w:t>
      </w:r>
      <w:r>
        <w:rPr>
          <w:rFonts w:hint="eastAsia"/>
          <w:sz w:val="28"/>
          <w:szCs w:val="28"/>
        </w:rPr>
        <w:t>,</w:t>
      </w:r>
      <w:r>
        <w:rPr>
          <w:sz w:val="28"/>
          <w:szCs w:val="28"/>
        </w:rPr>
        <w:t xml:space="preserve"> with an increase of 18.0%; the amount used in</w:t>
      </w:r>
      <w:r>
        <w:rPr>
          <w:rFonts w:hint="eastAsia"/>
          <w:sz w:val="28"/>
          <w:szCs w:val="28"/>
        </w:rPr>
        <w:t xml:space="preserve"> </w:t>
      </w:r>
      <w:r>
        <w:rPr>
          <w:sz w:val="28"/>
          <w:szCs w:val="28"/>
        </w:rPr>
        <w:t xml:space="preserve">the sector of information transmission, software and information technology services totaled USD 3.94 billion, accounting for 22.7%, with an increase of 1.0%; and the amount used in the sector of </w:t>
      </w:r>
      <w:r>
        <w:rPr>
          <w:rFonts w:hint="eastAsia"/>
          <w:sz w:val="28"/>
          <w:szCs w:val="28"/>
        </w:rPr>
        <w:t>renting and leasing activities and business services</w:t>
      </w:r>
      <w:r>
        <w:rPr>
          <w:sz w:val="28"/>
          <w:szCs w:val="28"/>
        </w:rPr>
        <w:t xml:space="preserve"> totaled USD 3.69 billion, accounting for 21.2%, with an increase of 1.1 times.</w:t>
      </w:r>
    </w:p>
    <w:p>
      <w:pPr>
        <w:pStyle w:val="13"/>
        <w:ind w:firstLine="0" w:firstLineChars="0"/>
        <w:jc w:val="center"/>
        <w:rPr>
          <w:sz w:val="24"/>
        </w:rPr>
      </w:pPr>
      <w:r>
        <w:rPr>
          <w:b/>
          <w:kern w:val="0"/>
          <w:sz w:val="24"/>
        </w:rPr>
        <w:t>Table 12: Foreign Direct Investment in Actual Use by Some Sectors in 20</w:t>
      </w:r>
      <w:r>
        <w:rPr>
          <w:rFonts w:hint="eastAsia"/>
          <w:b/>
          <w:kern w:val="0"/>
          <w:sz w:val="24"/>
        </w:rPr>
        <w:t>2</w:t>
      </w:r>
      <w:r>
        <w:rPr>
          <w:b/>
          <w:kern w:val="0"/>
          <w:sz w:val="24"/>
        </w:rPr>
        <w:t>2</w:t>
      </w:r>
    </w:p>
    <w:tbl>
      <w:tblPr>
        <w:tblStyle w:val="14"/>
        <w:tblW w:w="0" w:type="auto"/>
        <w:jc w:val="right"/>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434"/>
        <w:gridCol w:w="1729"/>
        <w:gridCol w:w="167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2" w:hRule="atLeast"/>
          <w:jc w:val="right"/>
        </w:trPr>
        <w:tc>
          <w:tcPr>
            <w:tcW w:w="5434" w:type="dxa"/>
            <w:vAlign w:val="center"/>
          </w:tcPr>
          <w:p>
            <w:pPr>
              <w:widowControl/>
              <w:jc w:val="center"/>
              <w:rPr>
                <w:bCs/>
                <w:kern w:val="0"/>
                <w:szCs w:val="21"/>
              </w:rPr>
            </w:pPr>
            <w:r>
              <w:rPr>
                <w:kern w:val="0"/>
                <w:szCs w:val="21"/>
              </w:rPr>
              <w:t>Sectors</w:t>
            </w:r>
          </w:p>
        </w:tc>
        <w:tc>
          <w:tcPr>
            <w:tcW w:w="1729" w:type="dxa"/>
            <w:noWrap/>
            <w:vAlign w:val="center"/>
          </w:tcPr>
          <w:p>
            <w:pPr>
              <w:widowControl/>
              <w:jc w:val="center"/>
              <w:rPr>
                <w:kern w:val="0"/>
                <w:szCs w:val="21"/>
              </w:rPr>
            </w:pPr>
            <w:r>
              <w:rPr>
                <w:kern w:val="0"/>
                <w:szCs w:val="21"/>
              </w:rPr>
              <w:t xml:space="preserve">Amount </w:t>
            </w:r>
          </w:p>
          <w:p>
            <w:pPr>
              <w:widowControl/>
              <w:jc w:val="center"/>
              <w:rPr>
                <w:bCs/>
                <w:kern w:val="0"/>
                <w:szCs w:val="21"/>
              </w:rPr>
            </w:pPr>
            <w:r>
              <w:rPr>
                <w:kern w:val="0"/>
                <w:szCs w:val="21"/>
              </w:rPr>
              <w:t>(USD 10,000)</w:t>
            </w:r>
          </w:p>
        </w:tc>
        <w:tc>
          <w:tcPr>
            <w:tcW w:w="1676" w:type="dxa"/>
            <w:vAlign w:val="center"/>
          </w:tcPr>
          <w:p>
            <w:pPr>
              <w:widowControl/>
              <w:jc w:val="center"/>
              <w:rPr>
                <w:bCs/>
                <w:kern w:val="0"/>
                <w:szCs w:val="21"/>
              </w:rPr>
            </w:pPr>
            <w:r>
              <w:rPr>
                <w:kern w:val="0"/>
                <w:szCs w:val="21"/>
              </w:rPr>
              <w:t>Increase over the previous year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4" w:hRule="atLeast"/>
          <w:jc w:val="right"/>
        </w:trPr>
        <w:tc>
          <w:tcPr>
            <w:tcW w:w="5434" w:type="dxa"/>
            <w:vAlign w:val="center"/>
          </w:tcPr>
          <w:p>
            <w:pPr>
              <w:jc w:val="center"/>
              <w:rPr>
                <w:szCs w:val="21"/>
              </w:rPr>
            </w:pPr>
            <w:r>
              <w:t>Total</w:t>
            </w:r>
          </w:p>
        </w:tc>
        <w:tc>
          <w:tcPr>
            <w:tcW w:w="1729" w:type="dxa"/>
            <w:vAlign w:val="center"/>
          </w:tcPr>
          <w:p>
            <w:pPr>
              <w:keepNext w:val="0"/>
              <w:keepLines w:val="0"/>
              <w:pageBreakBefore w:val="0"/>
              <w:widowControl/>
              <w:kinsoku/>
              <w:wordWrap/>
              <w:overflowPunct/>
              <w:topLinePunct w:val="0"/>
              <w:autoSpaceDE/>
              <w:autoSpaceDN/>
              <w:bidi w:val="0"/>
              <w:adjustRightInd/>
              <w:snapToGrid/>
              <w:ind w:right="105" w:rightChars="50"/>
              <w:jc w:val="right"/>
              <w:textAlignment w:val="auto"/>
              <w:rPr>
                <w:bCs/>
                <w:kern w:val="0"/>
                <w:szCs w:val="21"/>
              </w:rPr>
            </w:pPr>
            <w:r>
              <w:rPr>
                <w:bCs/>
                <w:kern w:val="0"/>
                <w:szCs w:val="21"/>
              </w:rPr>
              <w:t>1740768</w:t>
            </w:r>
          </w:p>
        </w:tc>
        <w:tc>
          <w:tcPr>
            <w:tcW w:w="1676" w:type="dxa"/>
            <w:tcMar>
              <w:right w:w="397" w:type="dxa"/>
            </w:tcMar>
            <w:vAlign w:val="center"/>
          </w:tcPr>
          <w:p>
            <w:pPr>
              <w:keepNext w:val="0"/>
              <w:keepLines w:val="0"/>
              <w:pageBreakBefore w:val="0"/>
              <w:widowControl/>
              <w:kinsoku/>
              <w:wordWrap/>
              <w:overflowPunct/>
              <w:topLinePunct w:val="0"/>
              <w:autoSpaceDE/>
              <w:autoSpaceDN/>
              <w:bidi w:val="0"/>
              <w:adjustRightInd/>
              <w:snapToGrid/>
              <w:ind w:right="105" w:rightChars="50"/>
              <w:jc w:val="right"/>
              <w:textAlignment w:val="auto"/>
              <w:rPr>
                <w:bCs/>
                <w:kern w:val="0"/>
                <w:szCs w:val="21"/>
              </w:rPr>
            </w:pPr>
            <w:r>
              <w:rPr>
                <w:rFonts w:hint="eastAsia"/>
                <w:bCs/>
                <w:kern w:val="0"/>
                <w:szCs w:val="21"/>
              </w:rPr>
              <w:t>1</w:t>
            </w:r>
            <w:r>
              <w:rPr>
                <w:bCs/>
                <w:kern w:val="0"/>
                <w:szCs w:val="21"/>
              </w:rPr>
              <w:t>2.7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7" w:hRule="atLeast"/>
          <w:jc w:val="right"/>
        </w:trPr>
        <w:tc>
          <w:tcPr>
            <w:tcW w:w="5434" w:type="dxa"/>
            <w:vAlign w:val="center"/>
          </w:tcPr>
          <w:p>
            <w:pPr>
              <w:widowControl/>
              <w:jc w:val="left"/>
              <w:rPr>
                <w:kern w:val="0"/>
                <w:szCs w:val="21"/>
              </w:rPr>
            </w:pPr>
            <w:r>
              <w:rPr>
                <w:kern w:val="0"/>
                <w:szCs w:val="21"/>
              </w:rPr>
              <w:t>Of which: Manufacturing</w:t>
            </w:r>
          </w:p>
        </w:tc>
        <w:tc>
          <w:tcPr>
            <w:tcW w:w="1729" w:type="dxa"/>
            <w:vAlign w:val="center"/>
          </w:tcPr>
          <w:p>
            <w:pPr>
              <w:keepNext w:val="0"/>
              <w:keepLines w:val="0"/>
              <w:pageBreakBefore w:val="0"/>
              <w:widowControl/>
              <w:kinsoku/>
              <w:wordWrap/>
              <w:overflowPunct/>
              <w:topLinePunct w:val="0"/>
              <w:autoSpaceDE/>
              <w:autoSpaceDN/>
              <w:bidi w:val="0"/>
              <w:adjustRightInd/>
              <w:snapToGrid/>
              <w:ind w:right="105" w:rightChars="50"/>
              <w:jc w:val="right"/>
              <w:textAlignment w:val="auto"/>
              <w:rPr>
                <w:kern w:val="0"/>
                <w:szCs w:val="21"/>
              </w:rPr>
            </w:pPr>
            <w:r>
              <w:rPr>
                <w:kern w:val="0"/>
                <w:szCs w:val="21"/>
              </w:rPr>
              <w:t>43662</w:t>
            </w:r>
          </w:p>
        </w:tc>
        <w:tc>
          <w:tcPr>
            <w:tcW w:w="1676" w:type="dxa"/>
            <w:tcMar>
              <w:right w:w="397" w:type="dxa"/>
            </w:tcMar>
            <w:vAlign w:val="center"/>
          </w:tcPr>
          <w:p>
            <w:pPr>
              <w:keepNext w:val="0"/>
              <w:keepLines w:val="0"/>
              <w:pageBreakBefore w:val="0"/>
              <w:widowControl/>
              <w:kinsoku/>
              <w:wordWrap/>
              <w:overflowPunct/>
              <w:topLinePunct w:val="0"/>
              <w:autoSpaceDE/>
              <w:autoSpaceDN/>
              <w:bidi w:val="0"/>
              <w:adjustRightInd/>
              <w:snapToGrid/>
              <w:ind w:right="105" w:rightChars="50"/>
              <w:jc w:val="right"/>
              <w:textAlignment w:val="auto"/>
              <w:rPr>
                <w:kern w:val="0"/>
                <w:szCs w:val="21"/>
              </w:rPr>
            </w:pPr>
            <w:r>
              <w:rPr>
                <w:kern w:val="0"/>
                <w:szCs w:val="21"/>
              </w:rPr>
              <w:t>57.9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7" w:hRule="atLeast"/>
          <w:jc w:val="right"/>
        </w:trPr>
        <w:tc>
          <w:tcPr>
            <w:tcW w:w="5434" w:type="dxa"/>
            <w:vAlign w:val="center"/>
          </w:tcPr>
          <w:p>
            <w:pPr>
              <w:widowControl/>
              <w:ind w:firstLine="1050" w:firstLineChars="500"/>
              <w:jc w:val="left"/>
              <w:rPr>
                <w:kern w:val="0"/>
                <w:szCs w:val="21"/>
              </w:rPr>
            </w:pPr>
            <w:r>
              <w:rPr>
                <w:kern w:val="0"/>
                <w:szCs w:val="21"/>
              </w:rPr>
              <w:t xml:space="preserve">Wholesale and </w:t>
            </w:r>
            <w:r>
              <w:rPr>
                <w:rFonts w:hint="eastAsia"/>
                <w:kern w:val="0"/>
                <w:szCs w:val="21"/>
              </w:rPr>
              <w:t>R</w:t>
            </w:r>
            <w:r>
              <w:rPr>
                <w:kern w:val="0"/>
                <w:szCs w:val="21"/>
              </w:rPr>
              <w:t xml:space="preserve">etail </w:t>
            </w:r>
            <w:r>
              <w:rPr>
                <w:rFonts w:hint="eastAsia"/>
                <w:kern w:val="0"/>
                <w:szCs w:val="21"/>
              </w:rPr>
              <w:t>T</w:t>
            </w:r>
            <w:r>
              <w:rPr>
                <w:kern w:val="0"/>
                <w:szCs w:val="21"/>
              </w:rPr>
              <w:t>rade</w:t>
            </w:r>
            <w:r>
              <w:rPr>
                <w:rFonts w:hint="eastAsia"/>
                <w:kern w:val="0"/>
                <w:szCs w:val="21"/>
              </w:rPr>
              <w:t>s</w:t>
            </w:r>
          </w:p>
        </w:tc>
        <w:tc>
          <w:tcPr>
            <w:tcW w:w="1729" w:type="dxa"/>
            <w:vAlign w:val="center"/>
          </w:tcPr>
          <w:p>
            <w:pPr>
              <w:keepNext w:val="0"/>
              <w:keepLines w:val="0"/>
              <w:pageBreakBefore w:val="0"/>
              <w:widowControl/>
              <w:kinsoku/>
              <w:wordWrap/>
              <w:overflowPunct/>
              <w:topLinePunct w:val="0"/>
              <w:autoSpaceDE/>
              <w:autoSpaceDN/>
              <w:bidi w:val="0"/>
              <w:adjustRightInd/>
              <w:snapToGrid/>
              <w:ind w:right="105" w:rightChars="50"/>
              <w:jc w:val="right"/>
              <w:textAlignment w:val="auto"/>
              <w:rPr>
                <w:kern w:val="0"/>
                <w:szCs w:val="21"/>
              </w:rPr>
            </w:pPr>
            <w:r>
              <w:rPr>
                <w:kern w:val="0"/>
                <w:szCs w:val="21"/>
              </w:rPr>
              <w:t>57485</w:t>
            </w:r>
          </w:p>
        </w:tc>
        <w:tc>
          <w:tcPr>
            <w:tcW w:w="1676" w:type="dxa"/>
            <w:tcMar>
              <w:right w:w="397" w:type="dxa"/>
            </w:tcMar>
            <w:vAlign w:val="center"/>
          </w:tcPr>
          <w:p>
            <w:pPr>
              <w:keepNext w:val="0"/>
              <w:keepLines w:val="0"/>
              <w:pageBreakBefore w:val="0"/>
              <w:widowControl/>
              <w:kinsoku/>
              <w:wordWrap/>
              <w:overflowPunct/>
              <w:topLinePunct w:val="0"/>
              <w:autoSpaceDE/>
              <w:autoSpaceDN/>
              <w:bidi w:val="0"/>
              <w:adjustRightInd/>
              <w:snapToGrid/>
              <w:ind w:right="105" w:rightChars="50"/>
              <w:jc w:val="right"/>
              <w:textAlignment w:val="auto"/>
              <w:rPr>
                <w:kern w:val="0"/>
                <w:szCs w:val="21"/>
              </w:rPr>
            </w:pPr>
            <w:r>
              <w:rPr>
                <w:kern w:val="0"/>
                <w:szCs w:val="21"/>
              </w:rPr>
              <w:t>-7.1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7" w:hRule="atLeast"/>
          <w:jc w:val="right"/>
        </w:trPr>
        <w:tc>
          <w:tcPr>
            <w:tcW w:w="5434" w:type="dxa"/>
            <w:vAlign w:val="center"/>
          </w:tcPr>
          <w:p>
            <w:pPr>
              <w:widowControl/>
              <w:ind w:firstLine="1050" w:firstLineChars="500"/>
              <w:jc w:val="left"/>
              <w:rPr>
                <w:kern w:val="0"/>
                <w:szCs w:val="21"/>
              </w:rPr>
            </w:pPr>
            <w:r>
              <w:rPr>
                <w:kern w:val="0"/>
                <w:szCs w:val="21"/>
              </w:rPr>
              <w:t>Transport</w:t>
            </w:r>
            <w:r>
              <w:rPr>
                <w:rFonts w:hint="eastAsia"/>
                <w:kern w:val="0"/>
                <w:szCs w:val="21"/>
              </w:rPr>
              <w:t>ation</w:t>
            </w:r>
            <w:r>
              <w:rPr>
                <w:kern w:val="0"/>
                <w:szCs w:val="21"/>
              </w:rPr>
              <w:t xml:space="preserve">, </w:t>
            </w:r>
            <w:r>
              <w:rPr>
                <w:rFonts w:hint="eastAsia"/>
                <w:kern w:val="0"/>
                <w:szCs w:val="21"/>
              </w:rPr>
              <w:t>S</w:t>
            </w:r>
            <w:r>
              <w:rPr>
                <w:kern w:val="0"/>
                <w:szCs w:val="21"/>
              </w:rPr>
              <w:t xml:space="preserve">torage and </w:t>
            </w:r>
            <w:r>
              <w:rPr>
                <w:rFonts w:hint="eastAsia"/>
                <w:kern w:val="0"/>
                <w:szCs w:val="21"/>
              </w:rPr>
              <w:t>P</w:t>
            </w:r>
            <w:r>
              <w:rPr>
                <w:kern w:val="0"/>
                <w:szCs w:val="21"/>
              </w:rPr>
              <w:t>ost</w:t>
            </w:r>
          </w:p>
        </w:tc>
        <w:tc>
          <w:tcPr>
            <w:tcW w:w="1729" w:type="dxa"/>
            <w:vAlign w:val="center"/>
          </w:tcPr>
          <w:p>
            <w:pPr>
              <w:keepNext w:val="0"/>
              <w:keepLines w:val="0"/>
              <w:pageBreakBefore w:val="0"/>
              <w:widowControl/>
              <w:kinsoku/>
              <w:wordWrap/>
              <w:overflowPunct/>
              <w:topLinePunct w:val="0"/>
              <w:autoSpaceDE/>
              <w:autoSpaceDN/>
              <w:bidi w:val="0"/>
              <w:adjustRightInd/>
              <w:snapToGrid/>
              <w:ind w:right="105" w:rightChars="50"/>
              <w:jc w:val="right"/>
              <w:textAlignment w:val="auto"/>
              <w:rPr>
                <w:kern w:val="0"/>
                <w:szCs w:val="21"/>
              </w:rPr>
            </w:pPr>
            <w:r>
              <w:rPr>
                <w:kern w:val="0"/>
                <w:szCs w:val="21"/>
              </w:rPr>
              <w:t>5580</w:t>
            </w:r>
          </w:p>
        </w:tc>
        <w:tc>
          <w:tcPr>
            <w:tcW w:w="1676" w:type="dxa"/>
            <w:tcMar>
              <w:right w:w="397" w:type="dxa"/>
            </w:tcMar>
            <w:vAlign w:val="center"/>
          </w:tcPr>
          <w:p>
            <w:pPr>
              <w:keepNext w:val="0"/>
              <w:keepLines w:val="0"/>
              <w:pageBreakBefore w:val="0"/>
              <w:widowControl/>
              <w:kinsoku/>
              <w:wordWrap/>
              <w:overflowPunct/>
              <w:topLinePunct w:val="0"/>
              <w:autoSpaceDE/>
              <w:autoSpaceDN/>
              <w:bidi w:val="0"/>
              <w:adjustRightInd/>
              <w:snapToGrid/>
              <w:ind w:right="105" w:rightChars="50"/>
              <w:jc w:val="right"/>
              <w:textAlignment w:val="auto"/>
              <w:rPr>
                <w:kern w:val="0"/>
                <w:szCs w:val="21"/>
              </w:rPr>
            </w:pPr>
            <w:r>
              <w:rPr>
                <w:kern w:val="0"/>
                <w:szCs w:val="21"/>
              </w:rPr>
              <w:t>98.6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9" w:hRule="atLeast"/>
          <w:jc w:val="right"/>
        </w:trPr>
        <w:tc>
          <w:tcPr>
            <w:tcW w:w="5434" w:type="dxa"/>
            <w:vAlign w:val="center"/>
          </w:tcPr>
          <w:p>
            <w:pPr>
              <w:widowControl/>
              <w:ind w:firstLine="1050" w:firstLineChars="500"/>
              <w:jc w:val="left"/>
              <w:rPr>
                <w:kern w:val="0"/>
                <w:szCs w:val="21"/>
              </w:rPr>
            </w:pPr>
            <w:r>
              <w:rPr>
                <w:kern w:val="0"/>
                <w:szCs w:val="21"/>
              </w:rPr>
              <w:t xml:space="preserve">Information </w:t>
            </w:r>
            <w:r>
              <w:rPr>
                <w:rFonts w:hint="eastAsia"/>
                <w:kern w:val="0"/>
                <w:szCs w:val="21"/>
              </w:rPr>
              <w:t>T</w:t>
            </w:r>
            <w:r>
              <w:rPr>
                <w:kern w:val="0"/>
                <w:szCs w:val="21"/>
              </w:rPr>
              <w:t xml:space="preserve">ransmission, </w:t>
            </w:r>
            <w:r>
              <w:rPr>
                <w:rFonts w:hint="eastAsia"/>
                <w:kern w:val="0"/>
                <w:szCs w:val="21"/>
              </w:rPr>
              <w:t>S</w:t>
            </w:r>
            <w:r>
              <w:rPr>
                <w:kern w:val="0"/>
                <w:szCs w:val="21"/>
              </w:rPr>
              <w:t xml:space="preserve">oftware and </w:t>
            </w:r>
          </w:p>
          <w:p>
            <w:pPr>
              <w:widowControl/>
              <w:ind w:firstLine="1155" w:firstLineChars="550"/>
              <w:jc w:val="left"/>
              <w:rPr>
                <w:kern w:val="0"/>
                <w:szCs w:val="21"/>
              </w:rPr>
            </w:pPr>
            <w:r>
              <w:rPr>
                <w:rFonts w:hint="eastAsia"/>
                <w:kern w:val="0"/>
                <w:szCs w:val="21"/>
              </w:rPr>
              <w:t>I</w:t>
            </w:r>
            <w:r>
              <w:rPr>
                <w:kern w:val="0"/>
                <w:szCs w:val="21"/>
              </w:rPr>
              <w:t xml:space="preserve">nformation </w:t>
            </w:r>
            <w:r>
              <w:rPr>
                <w:rFonts w:hint="eastAsia"/>
                <w:kern w:val="0"/>
                <w:szCs w:val="21"/>
              </w:rPr>
              <w:t>T</w:t>
            </w:r>
            <w:r>
              <w:rPr>
                <w:kern w:val="0"/>
                <w:szCs w:val="21"/>
              </w:rPr>
              <w:t xml:space="preserve">echnology </w:t>
            </w:r>
            <w:r>
              <w:rPr>
                <w:rFonts w:hint="eastAsia"/>
                <w:kern w:val="0"/>
                <w:szCs w:val="21"/>
              </w:rPr>
              <w:t>S</w:t>
            </w:r>
            <w:r>
              <w:rPr>
                <w:kern w:val="0"/>
                <w:szCs w:val="21"/>
              </w:rPr>
              <w:t>ervices</w:t>
            </w:r>
          </w:p>
        </w:tc>
        <w:tc>
          <w:tcPr>
            <w:tcW w:w="1729" w:type="dxa"/>
            <w:vAlign w:val="center"/>
          </w:tcPr>
          <w:p>
            <w:pPr>
              <w:keepNext w:val="0"/>
              <w:keepLines w:val="0"/>
              <w:pageBreakBefore w:val="0"/>
              <w:widowControl/>
              <w:kinsoku/>
              <w:wordWrap/>
              <w:overflowPunct/>
              <w:topLinePunct w:val="0"/>
              <w:autoSpaceDE/>
              <w:autoSpaceDN/>
              <w:bidi w:val="0"/>
              <w:adjustRightInd/>
              <w:snapToGrid/>
              <w:ind w:right="105" w:rightChars="50"/>
              <w:jc w:val="right"/>
              <w:textAlignment w:val="auto"/>
              <w:rPr>
                <w:kern w:val="0"/>
                <w:szCs w:val="21"/>
              </w:rPr>
            </w:pPr>
            <w:r>
              <w:rPr>
                <w:kern w:val="0"/>
                <w:szCs w:val="21"/>
              </w:rPr>
              <w:t>394366</w:t>
            </w:r>
          </w:p>
        </w:tc>
        <w:tc>
          <w:tcPr>
            <w:tcW w:w="1676" w:type="dxa"/>
            <w:tcMar>
              <w:right w:w="397" w:type="dxa"/>
            </w:tcMar>
            <w:vAlign w:val="center"/>
          </w:tcPr>
          <w:p>
            <w:pPr>
              <w:keepNext w:val="0"/>
              <w:keepLines w:val="0"/>
              <w:pageBreakBefore w:val="0"/>
              <w:widowControl/>
              <w:kinsoku/>
              <w:wordWrap/>
              <w:overflowPunct/>
              <w:topLinePunct w:val="0"/>
              <w:autoSpaceDE/>
              <w:autoSpaceDN/>
              <w:bidi w:val="0"/>
              <w:adjustRightInd/>
              <w:snapToGrid/>
              <w:ind w:right="105" w:rightChars="50"/>
              <w:jc w:val="right"/>
              <w:textAlignment w:val="auto"/>
              <w:rPr>
                <w:kern w:val="0"/>
                <w:szCs w:val="21"/>
              </w:rPr>
            </w:pPr>
            <w:r>
              <w:rPr>
                <w:kern w:val="0"/>
                <w:szCs w:val="21"/>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7" w:hRule="atLeast"/>
          <w:jc w:val="right"/>
        </w:trPr>
        <w:tc>
          <w:tcPr>
            <w:tcW w:w="5434" w:type="dxa"/>
            <w:vAlign w:val="center"/>
          </w:tcPr>
          <w:p>
            <w:pPr>
              <w:widowControl/>
              <w:ind w:firstLine="1050" w:firstLineChars="500"/>
              <w:jc w:val="left"/>
              <w:rPr>
                <w:kern w:val="0"/>
                <w:szCs w:val="21"/>
              </w:rPr>
            </w:pPr>
            <w:r>
              <w:rPr>
                <w:rFonts w:hint="eastAsia"/>
                <w:kern w:val="0"/>
                <w:szCs w:val="21"/>
              </w:rPr>
              <w:t>Finance</w:t>
            </w:r>
          </w:p>
        </w:tc>
        <w:tc>
          <w:tcPr>
            <w:tcW w:w="1729" w:type="dxa"/>
            <w:vAlign w:val="center"/>
          </w:tcPr>
          <w:p>
            <w:pPr>
              <w:keepNext w:val="0"/>
              <w:keepLines w:val="0"/>
              <w:pageBreakBefore w:val="0"/>
              <w:widowControl/>
              <w:kinsoku/>
              <w:wordWrap/>
              <w:overflowPunct/>
              <w:topLinePunct w:val="0"/>
              <w:autoSpaceDE/>
              <w:autoSpaceDN/>
              <w:bidi w:val="0"/>
              <w:adjustRightInd/>
              <w:snapToGrid/>
              <w:ind w:right="105" w:rightChars="50"/>
              <w:jc w:val="right"/>
              <w:textAlignment w:val="auto"/>
              <w:rPr>
                <w:kern w:val="0"/>
                <w:szCs w:val="21"/>
              </w:rPr>
            </w:pPr>
            <w:r>
              <w:rPr>
                <w:kern w:val="0"/>
                <w:szCs w:val="21"/>
              </w:rPr>
              <w:t>133554</w:t>
            </w:r>
          </w:p>
        </w:tc>
        <w:tc>
          <w:tcPr>
            <w:tcW w:w="1676" w:type="dxa"/>
            <w:tcMar>
              <w:right w:w="397" w:type="dxa"/>
            </w:tcMar>
            <w:vAlign w:val="center"/>
          </w:tcPr>
          <w:p>
            <w:pPr>
              <w:keepNext w:val="0"/>
              <w:keepLines w:val="0"/>
              <w:pageBreakBefore w:val="0"/>
              <w:widowControl/>
              <w:kinsoku/>
              <w:wordWrap/>
              <w:overflowPunct/>
              <w:topLinePunct w:val="0"/>
              <w:autoSpaceDE/>
              <w:autoSpaceDN/>
              <w:bidi w:val="0"/>
              <w:adjustRightInd/>
              <w:snapToGrid/>
              <w:ind w:right="105" w:rightChars="50"/>
              <w:jc w:val="right"/>
              <w:textAlignment w:val="auto"/>
              <w:rPr>
                <w:kern w:val="0"/>
                <w:szCs w:val="21"/>
              </w:rPr>
            </w:pPr>
            <w:r>
              <w:rPr>
                <w:rFonts w:hint="eastAsia"/>
                <w:kern w:val="0"/>
                <w:szCs w:val="21"/>
              </w:rPr>
              <w:t>-</w:t>
            </w:r>
            <w:r>
              <w:rPr>
                <w:kern w:val="0"/>
                <w:szCs w:val="21"/>
              </w:rPr>
              <w:t>49.6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7" w:hRule="atLeast"/>
          <w:jc w:val="right"/>
        </w:trPr>
        <w:tc>
          <w:tcPr>
            <w:tcW w:w="5434" w:type="dxa"/>
            <w:vAlign w:val="center"/>
          </w:tcPr>
          <w:p>
            <w:pPr>
              <w:widowControl/>
              <w:ind w:firstLine="1050" w:firstLineChars="500"/>
              <w:jc w:val="left"/>
              <w:rPr>
                <w:kern w:val="0"/>
                <w:szCs w:val="21"/>
              </w:rPr>
            </w:pPr>
            <w:r>
              <w:rPr>
                <w:kern w:val="0"/>
                <w:szCs w:val="21"/>
              </w:rPr>
              <w:t xml:space="preserve">Real </w:t>
            </w:r>
            <w:r>
              <w:rPr>
                <w:rFonts w:hint="eastAsia"/>
                <w:kern w:val="0"/>
                <w:szCs w:val="21"/>
              </w:rPr>
              <w:t>E</w:t>
            </w:r>
            <w:r>
              <w:rPr>
                <w:kern w:val="0"/>
                <w:szCs w:val="21"/>
              </w:rPr>
              <w:t>state</w:t>
            </w:r>
          </w:p>
        </w:tc>
        <w:tc>
          <w:tcPr>
            <w:tcW w:w="1729" w:type="dxa"/>
            <w:vAlign w:val="center"/>
          </w:tcPr>
          <w:p>
            <w:pPr>
              <w:keepNext w:val="0"/>
              <w:keepLines w:val="0"/>
              <w:pageBreakBefore w:val="0"/>
              <w:widowControl/>
              <w:kinsoku/>
              <w:wordWrap/>
              <w:overflowPunct/>
              <w:topLinePunct w:val="0"/>
              <w:autoSpaceDE/>
              <w:autoSpaceDN/>
              <w:bidi w:val="0"/>
              <w:adjustRightInd/>
              <w:snapToGrid/>
              <w:ind w:right="105" w:rightChars="50"/>
              <w:jc w:val="right"/>
              <w:textAlignment w:val="auto"/>
              <w:rPr>
                <w:kern w:val="0"/>
                <w:szCs w:val="21"/>
              </w:rPr>
            </w:pPr>
            <w:r>
              <w:rPr>
                <w:kern w:val="0"/>
                <w:szCs w:val="21"/>
              </w:rPr>
              <w:t>17795</w:t>
            </w:r>
          </w:p>
        </w:tc>
        <w:tc>
          <w:tcPr>
            <w:tcW w:w="1676" w:type="dxa"/>
            <w:tcMar>
              <w:right w:w="397" w:type="dxa"/>
            </w:tcMar>
            <w:vAlign w:val="center"/>
          </w:tcPr>
          <w:p>
            <w:pPr>
              <w:keepNext w:val="0"/>
              <w:keepLines w:val="0"/>
              <w:pageBreakBefore w:val="0"/>
              <w:widowControl/>
              <w:kinsoku/>
              <w:wordWrap/>
              <w:overflowPunct/>
              <w:topLinePunct w:val="0"/>
              <w:autoSpaceDE/>
              <w:autoSpaceDN/>
              <w:bidi w:val="0"/>
              <w:adjustRightInd/>
              <w:snapToGrid/>
              <w:ind w:right="105" w:rightChars="50"/>
              <w:jc w:val="right"/>
              <w:textAlignment w:val="auto"/>
              <w:rPr>
                <w:kern w:val="0"/>
                <w:szCs w:val="21"/>
              </w:rPr>
            </w:pPr>
            <w:r>
              <w:rPr>
                <w:kern w:val="0"/>
                <w:szCs w:val="21"/>
              </w:rPr>
              <w:t>-74.6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2" w:hRule="atLeast"/>
          <w:jc w:val="right"/>
        </w:trPr>
        <w:tc>
          <w:tcPr>
            <w:tcW w:w="5434" w:type="dxa"/>
            <w:vAlign w:val="center"/>
          </w:tcPr>
          <w:p>
            <w:pPr>
              <w:widowControl/>
              <w:ind w:firstLine="1050" w:firstLineChars="500"/>
              <w:jc w:val="left"/>
              <w:rPr>
                <w:kern w:val="0"/>
                <w:szCs w:val="21"/>
              </w:rPr>
            </w:pPr>
            <w:r>
              <w:rPr>
                <w:kern w:val="0"/>
                <w:szCs w:val="21"/>
              </w:rPr>
              <w:t xml:space="preserve">Renting and </w:t>
            </w:r>
            <w:r>
              <w:rPr>
                <w:rFonts w:hint="eastAsia"/>
                <w:kern w:val="0"/>
                <w:szCs w:val="21"/>
              </w:rPr>
              <w:t>L</w:t>
            </w:r>
            <w:r>
              <w:rPr>
                <w:kern w:val="0"/>
                <w:szCs w:val="21"/>
              </w:rPr>
              <w:t xml:space="preserve">easing </w:t>
            </w:r>
            <w:r>
              <w:rPr>
                <w:rFonts w:hint="eastAsia"/>
                <w:kern w:val="0"/>
                <w:szCs w:val="21"/>
              </w:rPr>
              <w:t>A</w:t>
            </w:r>
            <w:r>
              <w:rPr>
                <w:kern w:val="0"/>
                <w:szCs w:val="21"/>
              </w:rPr>
              <w:t xml:space="preserve">ctivities and </w:t>
            </w:r>
          </w:p>
          <w:p>
            <w:pPr>
              <w:widowControl/>
              <w:ind w:firstLine="1155" w:firstLineChars="550"/>
              <w:jc w:val="left"/>
              <w:rPr>
                <w:kern w:val="0"/>
                <w:szCs w:val="21"/>
              </w:rPr>
            </w:pPr>
            <w:r>
              <w:rPr>
                <w:rFonts w:hint="eastAsia"/>
                <w:kern w:val="0"/>
                <w:szCs w:val="21"/>
              </w:rPr>
              <w:t>B</w:t>
            </w:r>
            <w:r>
              <w:rPr>
                <w:kern w:val="0"/>
                <w:szCs w:val="21"/>
              </w:rPr>
              <w:t xml:space="preserve">usiness </w:t>
            </w:r>
            <w:r>
              <w:rPr>
                <w:rFonts w:hint="eastAsia"/>
                <w:kern w:val="0"/>
                <w:szCs w:val="21"/>
              </w:rPr>
              <w:t>S</w:t>
            </w:r>
            <w:r>
              <w:rPr>
                <w:kern w:val="0"/>
                <w:szCs w:val="21"/>
              </w:rPr>
              <w:t>ervices</w:t>
            </w:r>
          </w:p>
        </w:tc>
        <w:tc>
          <w:tcPr>
            <w:tcW w:w="1729" w:type="dxa"/>
            <w:vAlign w:val="center"/>
          </w:tcPr>
          <w:p>
            <w:pPr>
              <w:keepNext w:val="0"/>
              <w:keepLines w:val="0"/>
              <w:pageBreakBefore w:val="0"/>
              <w:widowControl/>
              <w:kinsoku/>
              <w:wordWrap/>
              <w:overflowPunct/>
              <w:topLinePunct w:val="0"/>
              <w:autoSpaceDE/>
              <w:autoSpaceDN/>
              <w:bidi w:val="0"/>
              <w:adjustRightInd/>
              <w:snapToGrid/>
              <w:ind w:right="105" w:rightChars="50"/>
              <w:jc w:val="right"/>
              <w:textAlignment w:val="auto"/>
              <w:rPr>
                <w:kern w:val="0"/>
                <w:szCs w:val="21"/>
              </w:rPr>
            </w:pPr>
            <w:r>
              <w:rPr>
                <w:kern w:val="0"/>
                <w:szCs w:val="21"/>
              </w:rPr>
              <w:t>369097</w:t>
            </w:r>
          </w:p>
        </w:tc>
        <w:tc>
          <w:tcPr>
            <w:tcW w:w="1676" w:type="dxa"/>
            <w:tcMar>
              <w:right w:w="397" w:type="dxa"/>
            </w:tcMar>
            <w:vAlign w:val="center"/>
          </w:tcPr>
          <w:p>
            <w:pPr>
              <w:keepNext w:val="0"/>
              <w:keepLines w:val="0"/>
              <w:pageBreakBefore w:val="0"/>
              <w:widowControl/>
              <w:kinsoku/>
              <w:wordWrap/>
              <w:overflowPunct/>
              <w:topLinePunct w:val="0"/>
              <w:autoSpaceDE/>
              <w:autoSpaceDN/>
              <w:bidi w:val="0"/>
              <w:adjustRightInd/>
              <w:snapToGrid/>
              <w:ind w:right="105" w:rightChars="50"/>
              <w:jc w:val="right"/>
              <w:textAlignment w:val="auto"/>
              <w:rPr>
                <w:kern w:val="0"/>
                <w:szCs w:val="21"/>
              </w:rPr>
            </w:pPr>
            <w:r>
              <w:rPr>
                <w:kern w:val="0"/>
                <w:szCs w:val="21"/>
              </w:rPr>
              <w:t>107.7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jc w:val="right"/>
        </w:trPr>
        <w:tc>
          <w:tcPr>
            <w:tcW w:w="5434" w:type="dxa"/>
            <w:vAlign w:val="center"/>
          </w:tcPr>
          <w:p>
            <w:pPr>
              <w:widowControl/>
              <w:ind w:firstLine="1050" w:firstLineChars="500"/>
              <w:jc w:val="left"/>
              <w:rPr>
                <w:kern w:val="0"/>
                <w:szCs w:val="21"/>
              </w:rPr>
            </w:pPr>
            <w:r>
              <w:rPr>
                <w:kern w:val="0"/>
                <w:szCs w:val="21"/>
              </w:rPr>
              <w:t xml:space="preserve">Scientific </w:t>
            </w:r>
            <w:r>
              <w:rPr>
                <w:rFonts w:hint="eastAsia"/>
                <w:kern w:val="0"/>
                <w:szCs w:val="21"/>
              </w:rPr>
              <w:t>R</w:t>
            </w:r>
            <w:r>
              <w:rPr>
                <w:kern w:val="0"/>
                <w:szCs w:val="21"/>
              </w:rPr>
              <w:t xml:space="preserve">esearch and </w:t>
            </w:r>
            <w:r>
              <w:rPr>
                <w:rFonts w:hint="eastAsia"/>
                <w:kern w:val="0"/>
                <w:szCs w:val="21"/>
              </w:rPr>
              <w:t>D</w:t>
            </w:r>
            <w:r>
              <w:rPr>
                <w:kern w:val="0"/>
                <w:szCs w:val="21"/>
              </w:rPr>
              <w:t xml:space="preserve">evelopment, </w:t>
            </w:r>
          </w:p>
          <w:p>
            <w:pPr>
              <w:widowControl/>
              <w:ind w:firstLine="1155" w:firstLineChars="550"/>
              <w:jc w:val="left"/>
              <w:rPr>
                <w:kern w:val="0"/>
                <w:szCs w:val="21"/>
              </w:rPr>
            </w:pPr>
            <w:r>
              <w:rPr>
                <w:rFonts w:hint="eastAsia"/>
                <w:kern w:val="0"/>
                <w:szCs w:val="21"/>
              </w:rPr>
              <w:t>T</w:t>
            </w:r>
            <w:r>
              <w:rPr>
                <w:kern w:val="0"/>
                <w:szCs w:val="21"/>
              </w:rPr>
              <w:t xml:space="preserve">echnical </w:t>
            </w:r>
            <w:r>
              <w:rPr>
                <w:rFonts w:hint="eastAsia"/>
                <w:kern w:val="0"/>
                <w:szCs w:val="21"/>
              </w:rPr>
              <w:t>S</w:t>
            </w:r>
            <w:r>
              <w:rPr>
                <w:kern w:val="0"/>
                <w:szCs w:val="21"/>
              </w:rPr>
              <w:t>ervices</w:t>
            </w:r>
          </w:p>
        </w:tc>
        <w:tc>
          <w:tcPr>
            <w:tcW w:w="1729" w:type="dxa"/>
            <w:vAlign w:val="center"/>
          </w:tcPr>
          <w:p>
            <w:pPr>
              <w:keepNext w:val="0"/>
              <w:keepLines w:val="0"/>
              <w:pageBreakBefore w:val="0"/>
              <w:widowControl/>
              <w:kinsoku/>
              <w:wordWrap/>
              <w:overflowPunct/>
              <w:topLinePunct w:val="0"/>
              <w:autoSpaceDE/>
              <w:autoSpaceDN/>
              <w:bidi w:val="0"/>
              <w:adjustRightInd/>
              <w:snapToGrid/>
              <w:ind w:right="105" w:rightChars="50"/>
              <w:jc w:val="right"/>
              <w:textAlignment w:val="auto"/>
              <w:rPr>
                <w:kern w:val="0"/>
                <w:szCs w:val="21"/>
              </w:rPr>
            </w:pPr>
            <w:r>
              <w:rPr>
                <w:kern w:val="0"/>
                <w:szCs w:val="21"/>
              </w:rPr>
              <w:t>698192</w:t>
            </w:r>
          </w:p>
        </w:tc>
        <w:tc>
          <w:tcPr>
            <w:tcW w:w="1676" w:type="dxa"/>
            <w:tcMar>
              <w:right w:w="397" w:type="dxa"/>
            </w:tcMar>
            <w:vAlign w:val="center"/>
          </w:tcPr>
          <w:p>
            <w:pPr>
              <w:keepNext w:val="0"/>
              <w:keepLines w:val="0"/>
              <w:pageBreakBefore w:val="0"/>
              <w:widowControl/>
              <w:kinsoku/>
              <w:wordWrap/>
              <w:overflowPunct/>
              <w:topLinePunct w:val="0"/>
              <w:autoSpaceDE/>
              <w:autoSpaceDN/>
              <w:bidi w:val="0"/>
              <w:adjustRightInd/>
              <w:snapToGrid/>
              <w:ind w:right="105" w:rightChars="50"/>
              <w:jc w:val="right"/>
              <w:textAlignment w:val="auto"/>
              <w:rPr>
                <w:kern w:val="0"/>
                <w:szCs w:val="21"/>
              </w:rPr>
            </w:pPr>
            <w:r>
              <w:rPr>
                <w:kern w:val="0"/>
                <w:szCs w:val="21"/>
              </w:rPr>
              <w:t>18.0</w:t>
            </w:r>
          </w:p>
        </w:tc>
      </w:tr>
    </w:tbl>
    <w:p>
      <w:pPr>
        <w:widowControl/>
        <w:rPr>
          <w:kern w:val="0"/>
          <w:sz w:val="28"/>
          <w:szCs w:val="28"/>
        </w:rPr>
      </w:pPr>
      <w:r>
        <w:rPr>
          <w:kern w:val="0"/>
          <w:sz w:val="28"/>
          <w:szCs w:val="28"/>
        </w:rPr>
        <w:t>In 20</w:t>
      </w:r>
      <w:r>
        <w:rPr>
          <w:rFonts w:hint="eastAsia"/>
          <w:kern w:val="0"/>
          <w:sz w:val="28"/>
          <w:szCs w:val="28"/>
        </w:rPr>
        <w:t>2</w:t>
      </w:r>
      <w:r>
        <w:rPr>
          <w:kern w:val="0"/>
          <w:sz w:val="28"/>
          <w:szCs w:val="28"/>
        </w:rPr>
        <w:t xml:space="preserve">2, </w:t>
      </w:r>
      <w:r>
        <w:rPr>
          <w:rFonts w:hint="eastAsia"/>
          <w:kern w:val="0"/>
          <w:sz w:val="28"/>
          <w:szCs w:val="28"/>
        </w:rPr>
        <w:t xml:space="preserve">the outward foreign direct </w:t>
      </w:r>
      <w:r>
        <w:rPr>
          <w:kern w:val="0"/>
          <w:sz w:val="28"/>
          <w:szCs w:val="28"/>
        </w:rPr>
        <w:t xml:space="preserve">investment reached USD 6.93 billion, up by 5.3% over the previous year. The turnover of contracted foreign projects was USD 5.32 billion, up by 44.5%. </w:t>
      </w:r>
      <w:r>
        <w:rPr>
          <w:rFonts w:hint="eastAsia"/>
          <w:kern w:val="0"/>
          <w:sz w:val="28"/>
          <w:szCs w:val="28"/>
        </w:rPr>
        <w:t xml:space="preserve">A total of </w:t>
      </w:r>
      <w:r>
        <w:rPr>
          <w:kern w:val="0"/>
          <w:sz w:val="28"/>
          <w:szCs w:val="28"/>
        </w:rPr>
        <w:t>36</w:t>
      </w:r>
      <w:r>
        <w:rPr>
          <w:rFonts w:hint="eastAsia"/>
          <w:kern w:val="0"/>
          <w:sz w:val="28"/>
          <w:szCs w:val="28"/>
        </w:rPr>
        <w:t xml:space="preserve"> thousands laborers of various types were dispatched for foreign labor cooperation, and </w:t>
      </w:r>
      <w:r>
        <w:rPr>
          <w:kern w:val="0"/>
          <w:sz w:val="28"/>
          <w:szCs w:val="28"/>
        </w:rPr>
        <w:t>the</w:t>
      </w:r>
      <w:r>
        <w:rPr>
          <w:rFonts w:hint="eastAsia"/>
          <w:kern w:val="0"/>
          <w:sz w:val="28"/>
          <w:szCs w:val="28"/>
        </w:rPr>
        <w:t xml:space="preserve"> actual income of the laborers totaled USD 0.</w:t>
      </w:r>
      <w:r>
        <w:rPr>
          <w:kern w:val="0"/>
          <w:sz w:val="28"/>
          <w:szCs w:val="28"/>
        </w:rPr>
        <w:t>50</w:t>
      </w:r>
      <w:r>
        <w:rPr>
          <w:rFonts w:hint="eastAsia"/>
          <w:kern w:val="0"/>
          <w:sz w:val="28"/>
          <w:szCs w:val="28"/>
        </w:rPr>
        <w:t xml:space="preserve"> billion.</w:t>
      </w:r>
    </w:p>
    <w:p>
      <w:pPr>
        <w:outlineLvl w:val="0"/>
        <w:rPr>
          <w:rFonts w:eastAsia="黑体"/>
          <w:b/>
          <w:sz w:val="28"/>
          <w:szCs w:val="28"/>
        </w:rPr>
      </w:pPr>
      <w:r>
        <w:rPr>
          <w:b/>
          <w:sz w:val="28"/>
          <w:szCs w:val="28"/>
        </w:rPr>
        <w:t>IX. Urban Construction and Safety Production</w:t>
      </w:r>
    </w:p>
    <w:p>
      <w:pPr>
        <w:rPr>
          <w:color w:val="auto"/>
          <w:sz w:val="28"/>
          <w:szCs w:val="28"/>
          <w:shd w:val="clear" w:color="auto" w:fill="auto"/>
        </w:rPr>
      </w:pPr>
      <w:r>
        <w:rPr>
          <w:b/>
          <w:sz w:val="28"/>
          <w:szCs w:val="28"/>
        </w:rPr>
        <w:t xml:space="preserve">Road </w:t>
      </w:r>
      <w:r>
        <w:rPr>
          <w:rFonts w:hint="eastAsia"/>
          <w:b/>
          <w:sz w:val="28"/>
          <w:szCs w:val="28"/>
        </w:rPr>
        <w:t>C</w:t>
      </w:r>
      <w:r>
        <w:rPr>
          <w:b/>
          <w:sz w:val="28"/>
          <w:szCs w:val="28"/>
        </w:rPr>
        <w:t>onstruction:</w:t>
      </w:r>
      <w:r>
        <w:rPr>
          <w:sz w:val="28"/>
          <w:szCs w:val="28"/>
        </w:rPr>
        <w:t xml:space="preserve"> At the en</w:t>
      </w:r>
      <w:r>
        <w:rPr>
          <w:color w:val="auto"/>
          <w:sz w:val="28"/>
          <w:szCs w:val="28"/>
          <w:shd w:val="clear" w:color="auto" w:fill="auto"/>
        </w:rPr>
        <w:t>d of 20</w:t>
      </w:r>
      <w:r>
        <w:rPr>
          <w:rFonts w:hint="eastAsia"/>
          <w:color w:val="auto"/>
          <w:sz w:val="28"/>
          <w:szCs w:val="28"/>
          <w:shd w:val="clear" w:color="auto" w:fill="auto"/>
        </w:rPr>
        <w:t>2</w:t>
      </w:r>
      <w:r>
        <w:rPr>
          <w:color w:val="auto"/>
          <w:sz w:val="28"/>
          <w:szCs w:val="28"/>
          <w:shd w:val="clear" w:color="auto" w:fill="auto"/>
        </w:rPr>
        <w:t>2, length of highways in Beijing totaled 22,362.8 km, with an increase of 42.9 km over the end of the previous year. Of which, the length of expressways reached 1,196</w:t>
      </w:r>
      <w:r>
        <w:rPr>
          <w:rFonts w:hint="eastAsia"/>
          <w:color w:val="auto"/>
          <w:sz w:val="28"/>
          <w:szCs w:val="28"/>
          <w:shd w:val="clear" w:color="auto" w:fill="auto"/>
        </w:rPr>
        <w:t>.</w:t>
      </w:r>
      <w:r>
        <w:rPr>
          <w:color w:val="auto"/>
          <w:sz w:val="28"/>
          <w:szCs w:val="28"/>
          <w:shd w:val="clear" w:color="auto" w:fill="auto"/>
        </w:rPr>
        <w:t>3 km, with an increase of 19.8 km. Total length of urban roads by the end of 20</w:t>
      </w:r>
      <w:r>
        <w:rPr>
          <w:rFonts w:hint="eastAsia"/>
          <w:color w:val="auto"/>
          <w:sz w:val="28"/>
          <w:szCs w:val="28"/>
          <w:shd w:val="clear" w:color="auto" w:fill="auto"/>
        </w:rPr>
        <w:t>2</w:t>
      </w:r>
      <w:r>
        <w:rPr>
          <w:color w:val="auto"/>
          <w:sz w:val="28"/>
          <w:szCs w:val="28"/>
          <w:shd w:val="clear" w:color="auto" w:fill="auto"/>
        </w:rPr>
        <w:t>2 reached</w:t>
      </w:r>
      <w:r>
        <w:rPr>
          <w:rFonts w:hint="eastAsia"/>
          <w:color w:val="auto"/>
          <w:sz w:val="28"/>
          <w:szCs w:val="28"/>
          <w:shd w:val="clear" w:color="auto" w:fill="auto"/>
        </w:rPr>
        <w:t xml:space="preserve"> </w:t>
      </w:r>
      <w:r>
        <w:rPr>
          <w:color w:val="auto"/>
          <w:sz w:val="28"/>
          <w:szCs w:val="28"/>
          <w:shd w:val="clear" w:color="auto" w:fill="auto"/>
        </w:rPr>
        <w:t>6,208.8 km, with an increase of 41.3 km over the end of the previous year.</w:t>
      </w:r>
    </w:p>
    <w:p>
      <w:pPr>
        <w:rPr>
          <w:color w:val="auto"/>
          <w:sz w:val="28"/>
          <w:szCs w:val="28"/>
          <w:shd w:val="clear" w:color="auto" w:fill="auto"/>
        </w:rPr>
      </w:pPr>
      <w:r>
        <w:rPr>
          <w:b/>
          <w:color w:val="auto"/>
          <w:sz w:val="28"/>
          <w:szCs w:val="28"/>
          <w:shd w:val="clear" w:color="auto" w:fill="auto"/>
        </w:rPr>
        <w:t xml:space="preserve">Public </w:t>
      </w:r>
      <w:r>
        <w:rPr>
          <w:rFonts w:hint="eastAsia"/>
          <w:b/>
          <w:color w:val="auto"/>
          <w:sz w:val="28"/>
          <w:szCs w:val="28"/>
          <w:shd w:val="clear" w:color="auto" w:fill="auto"/>
        </w:rPr>
        <w:t>T</w:t>
      </w:r>
      <w:r>
        <w:rPr>
          <w:b/>
          <w:color w:val="auto"/>
          <w:sz w:val="28"/>
          <w:szCs w:val="28"/>
          <w:shd w:val="clear" w:color="auto" w:fill="auto"/>
        </w:rPr>
        <w:t>ransportation:</w:t>
      </w:r>
      <w:r>
        <w:rPr>
          <w:color w:val="auto"/>
          <w:sz w:val="28"/>
          <w:szCs w:val="28"/>
          <w:shd w:val="clear" w:color="auto" w:fill="auto"/>
        </w:rPr>
        <w:t xml:space="preserve"> At the end of 20</w:t>
      </w:r>
      <w:r>
        <w:rPr>
          <w:rFonts w:hint="eastAsia"/>
          <w:color w:val="auto"/>
          <w:sz w:val="28"/>
          <w:szCs w:val="28"/>
          <w:shd w:val="clear" w:color="auto" w:fill="auto"/>
        </w:rPr>
        <w:t>2</w:t>
      </w:r>
      <w:r>
        <w:rPr>
          <w:color w:val="auto"/>
          <w:sz w:val="28"/>
          <w:szCs w:val="28"/>
          <w:shd w:val="clear" w:color="auto" w:fill="auto"/>
        </w:rPr>
        <w:t>2, public transportation lines totaled 1,</w:t>
      </w:r>
      <w:r>
        <w:rPr>
          <w:rFonts w:hint="eastAsia"/>
          <w:color w:val="auto"/>
          <w:sz w:val="28"/>
          <w:szCs w:val="28"/>
          <w:shd w:val="clear" w:color="auto" w:fill="auto"/>
        </w:rPr>
        <w:t>2</w:t>
      </w:r>
      <w:r>
        <w:rPr>
          <w:color w:val="auto"/>
          <w:sz w:val="28"/>
          <w:szCs w:val="28"/>
          <w:shd w:val="clear" w:color="auto" w:fill="auto"/>
        </w:rPr>
        <w:t xml:space="preserve">91, with an increase of 74 lines </w:t>
      </w:r>
      <w:r>
        <w:rPr>
          <w:rFonts w:hint="eastAsia"/>
          <w:color w:val="auto"/>
          <w:sz w:val="28"/>
          <w:szCs w:val="28"/>
          <w:shd w:val="clear" w:color="auto" w:fill="auto"/>
        </w:rPr>
        <w:t>over</w:t>
      </w:r>
      <w:r>
        <w:rPr>
          <w:color w:val="auto"/>
          <w:sz w:val="28"/>
          <w:szCs w:val="28"/>
          <w:shd w:val="clear" w:color="auto" w:fill="auto"/>
        </w:rPr>
        <w:t xml:space="preserve"> the end of the previous year. Length of lines in operation registered 30</w:t>
      </w:r>
      <w:r>
        <w:rPr>
          <w:rFonts w:hint="eastAsia"/>
          <w:color w:val="auto"/>
          <w:sz w:val="28"/>
          <w:szCs w:val="28"/>
          <w:shd w:val="clear" w:color="auto" w:fill="auto"/>
        </w:rPr>
        <w:t>,</w:t>
      </w:r>
      <w:r>
        <w:rPr>
          <w:color w:val="auto"/>
          <w:sz w:val="28"/>
          <w:szCs w:val="28"/>
          <w:shd w:val="clear" w:color="auto" w:fill="auto"/>
        </w:rPr>
        <w:t>173.9 km, with an increase of 1594.2 km. Vehicles in operation totaled 2</w:t>
      </w:r>
      <w:r>
        <w:rPr>
          <w:rFonts w:hint="eastAsia"/>
          <w:color w:val="auto"/>
          <w:sz w:val="28"/>
          <w:szCs w:val="28"/>
          <w:shd w:val="clear" w:color="auto" w:fill="auto"/>
        </w:rPr>
        <w:t>3,</w:t>
      </w:r>
      <w:r>
        <w:rPr>
          <w:color w:val="auto"/>
          <w:sz w:val="28"/>
          <w:szCs w:val="28"/>
          <w:shd w:val="clear" w:color="auto" w:fill="auto"/>
        </w:rPr>
        <w:t>465, with an increase of 386. Passenger capacity in 20</w:t>
      </w:r>
      <w:r>
        <w:rPr>
          <w:rFonts w:hint="eastAsia"/>
          <w:color w:val="auto"/>
          <w:sz w:val="28"/>
          <w:szCs w:val="28"/>
          <w:shd w:val="clear" w:color="auto" w:fill="auto"/>
        </w:rPr>
        <w:t>2</w:t>
      </w:r>
      <w:r>
        <w:rPr>
          <w:color w:val="auto"/>
          <w:sz w:val="28"/>
          <w:szCs w:val="28"/>
          <w:shd w:val="clear" w:color="auto" w:fill="auto"/>
        </w:rPr>
        <w:t>2 totaled 1.73 billion</w:t>
      </w:r>
      <w:r>
        <w:rPr>
          <w:rFonts w:hint="eastAsia"/>
          <w:color w:val="auto"/>
          <w:sz w:val="28"/>
          <w:szCs w:val="28"/>
          <w:shd w:val="clear" w:color="auto" w:fill="auto"/>
        </w:rPr>
        <w:t xml:space="preserve"> </w:t>
      </w:r>
      <w:r>
        <w:rPr>
          <w:color w:val="auto"/>
          <w:sz w:val="28"/>
          <w:szCs w:val="28"/>
          <w:shd w:val="clear" w:color="auto" w:fill="auto"/>
        </w:rPr>
        <w:t>person-times, down by 24.9%.</w:t>
      </w:r>
    </w:p>
    <w:p>
      <w:pPr>
        <w:rPr>
          <w:color w:val="auto"/>
          <w:sz w:val="28"/>
          <w:szCs w:val="28"/>
          <w:shd w:val="clear" w:color="auto" w:fill="auto"/>
        </w:rPr>
      </w:pPr>
      <w:r>
        <w:rPr>
          <w:color w:val="auto"/>
          <w:sz w:val="28"/>
          <w:szCs w:val="28"/>
          <w:shd w:val="clear" w:color="auto" w:fill="auto"/>
        </w:rPr>
        <w:t>Subway lines in operation by the end of 20</w:t>
      </w:r>
      <w:r>
        <w:rPr>
          <w:rFonts w:hint="eastAsia"/>
          <w:color w:val="auto"/>
          <w:sz w:val="28"/>
          <w:szCs w:val="28"/>
          <w:shd w:val="clear" w:color="auto" w:fill="auto"/>
        </w:rPr>
        <w:t>2</w:t>
      </w:r>
      <w:r>
        <w:rPr>
          <w:color w:val="auto"/>
          <w:sz w:val="28"/>
          <w:szCs w:val="28"/>
          <w:shd w:val="clear" w:color="auto" w:fill="auto"/>
        </w:rPr>
        <w:t>2 amounted to 27</w:t>
      </w:r>
      <w:r>
        <w:rPr>
          <w:rFonts w:hint="eastAsia"/>
          <w:color w:val="auto"/>
          <w:sz w:val="28"/>
          <w:szCs w:val="28"/>
          <w:shd w:val="clear" w:color="auto" w:fill="auto"/>
        </w:rPr>
        <w:t xml:space="preserve">, </w:t>
      </w:r>
      <w:r>
        <w:rPr>
          <w:color w:val="auto"/>
          <w:sz w:val="28"/>
          <w:szCs w:val="28"/>
          <w:shd w:val="clear" w:color="auto" w:fill="auto"/>
        </w:rPr>
        <w:t>remaining the same as that of</w:t>
      </w:r>
      <w:r>
        <w:rPr>
          <w:rFonts w:hint="eastAsia"/>
          <w:color w:val="auto"/>
          <w:sz w:val="28"/>
          <w:szCs w:val="28"/>
          <w:shd w:val="clear" w:color="auto" w:fill="auto"/>
        </w:rPr>
        <w:t xml:space="preserve"> the previous year. </w:t>
      </w:r>
      <w:r>
        <w:rPr>
          <w:color w:val="auto"/>
          <w:sz w:val="28"/>
          <w:szCs w:val="28"/>
          <w:shd w:val="clear" w:color="auto" w:fill="auto"/>
        </w:rPr>
        <w:t>Length of lines in operation was</w:t>
      </w:r>
      <w:r>
        <w:rPr>
          <w:rFonts w:hint="eastAsia"/>
          <w:color w:val="auto"/>
          <w:sz w:val="28"/>
          <w:szCs w:val="28"/>
          <w:shd w:val="clear" w:color="auto" w:fill="auto"/>
        </w:rPr>
        <w:t xml:space="preserve"> 7</w:t>
      </w:r>
      <w:r>
        <w:rPr>
          <w:color w:val="auto"/>
          <w:sz w:val="28"/>
          <w:szCs w:val="28"/>
          <w:shd w:val="clear" w:color="auto" w:fill="auto"/>
        </w:rPr>
        <w:t xml:space="preserve">97.3 km, with an increase of 14.3 km. Vehicles in operation totaled 7,274, </w:t>
      </w:r>
      <w:r>
        <w:rPr>
          <w:rFonts w:hint="eastAsia"/>
          <w:color w:val="auto"/>
          <w:sz w:val="28"/>
          <w:szCs w:val="28"/>
          <w:shd w:val="clear" w:color="auto" w:fill="auto"/>
        </w:rPr>
        <w:t xml:space="preserve">with </w:t>
      </w:r>
      <w:r>
        <w:rPr>
          <w:color w:val="auto"/>
          <w:sz w:val="28"/>
          <w:szCs w:val="28"/>
          <w:shd w:val="clear" w:color="auto" w:fill="auto"/>
        </w:rPr>
        <w:t>an increase of 164. Passenger capacity in 20</w:t>
      </w:r>
      <w:r>
        <w:rPr>
          <w:rFonts w:hint="eastAsia"/>
          <w:color w:val="auto"/>
          <w:sz w:val="28"/>
          <w:szCs w:val="28"/>
          <w:shd w:val="clear" w:color="auto" w:fill="auto"/>
        </w:rPr>
        <w:t>2</w:t>
      </w:r>
      <w:r>
        <w:rPr>
          <w:color w:val="auto"/>
          <w:sz w:val="28"/>
          <w:szCs w:val="28"/>
          <w:shd w:val="clear" w:color="auto" w:fill="auto"/>
        </w:rPr>
        <w:t>2 totaled 2.26 billion person-times, down by 26.8%.</w:t>
      </w:r>
    </w:p>
    <w:p>
      <w:pPr>
        <w:rPr>
          <w:color w:val="auto"/>
          <w:sz w:val="28"/>
          <w:szCs w:val="28"/>
          <w:shd w:val="clear" w:color="auto" w:fill="auto"/>
        </w:rPr>
      </w:pPr>
      <w:r>
        <w:rPr>
          <w:b/>
          <w:color w:val="auto"/>
          <w:sz w:val="28"/>
          <w:szCs w:val="28"/>
          <w:shd w:val="clear" w:color="auto" w:fill="auto"/>
        </w:rPr>
        <w:t>Utilities:</w:t>
      </w:r>
      <w:r>
        <w:rPr>
          <w:color w:val="auto"/>
          <w:sz w:val="28"/>
          <w:szCs w:val="28"/>
          <w:shd w:val="clear" w:color="auto" w:fill="auto"/>
        </w:rPr>
        <w:t xml:space="preserve"> Sales volume of </w:t>
      </w:r>
      <w:r>
        <w:rPr>
          <w:rFonts w:hint="eastAsia"/>
          <w:color w:val="auto"/>
          <w:sz w:val="28"/>
          <w:szCs w:val="28"/>
          <w:shd w:val="clear" w:color="auto" w:fill="auto"/>
        </w:rPr>
        <w:t xml:space="preserve">tap </w:t>
      </w:r>
      <w:r>
        <w:rPr>
          <w:color w:val="auto"/>
          <w:sz w:val="28"/>
          <w:szCs w:val="28"/>
          <w:shd w:val="clear" w:color="auto" w:fill="auto"/>
        </w:rPr>
        <w:t>water in 2022 amounted to 1.283 billion cubic meters, up by 5.7% over the previous year. Of which, that for industrial consumpt</w:t>
      </w:r>
      <w:r>
        <w:rPr>
          <w:sz w:val="28"/>
          <w:szCs w:val="28"/>
        </w:rPr>
        <w:t>ion and construction industry totale</w:t>
      </w:r>
      <w:r>
        <w:rPr>
          <w:color w:val="auto"/>
          <w:sz w:val="28"/>
          <w:szCs w:val="28"/>
          <w:shd w:val="clear" w:color="auto" w:fill="auto"/>
        </w:rPr>
        <w:t>d 0.111 billion cubic meters, up by</w:t>
      </w:r>
      <w:r>
        <w:rPr>
          <w:rFonts w:hint="eastAsia"/>
          <w:color w:val="auto"/>
          <w:sz w:val="28"/>
          <w:szCs w:val="28"/>
          <w:shd w:val="clear" w:color="auto" w:fill="auto"/>
        </w:rPr>
        <w:t xml:space="preserve"> </w:t>
      </w:r>
      <w:r>
        <w:rPr>
          <w:color w:val="auto"/>
          <w:sz w:val="28"/>
          <w:szCs w:val="28"/>
          <w:shd w:val="clear" w:color="auto" w:fill="auto"/>
        </w:rPr>
        <w:t xml:space="preserve">1.3%; that for public services amounted to 0.432 </w:t>
      </w:r>
      <w:r>
        <w:rPr>
          <w:rFonts w:hint="eastAsia"/>
          <w:color w:val="auto"/>
          <w:sz w:val="28"/>
          <w:szCs w:val="28"/>
          <w:shd w:val="clear" w:color="auto" w:fill="auto"/>
        </w:rPr>
        <w:t>b</w:t>
      </w:r>
      <w:r>
        <w:rPr>
          <w:color w:val="auto"/>
          <w:sz w:val="28"/>
          <w:szCs w:val="28"/>
          <w:shd w:val="clear" w:color="auto" w:fill="auto"/>
        </w:rPr>
        <w:t xml:space="preserve">illion cubic meters, down by 1.4%; that for households use hit 0.713 </w:t>
      </w:r>
      <w:r>
        <w:rPr>
          <w:rFonts w:hint="eastAsia"/>
          <w:color w:val="auto"/>
          <w:sz w:val="28"/>
          <w:szCs w:val="28"/>
          <w:shd w:val="clear" w:color="auto" w:fill="auto"/>
        </w:rPr>
        <w:t>b</w:t>
      </w:r>
      <w:r>
        <w:rPr>
          <w:color w:val="auto"/>
          <w:sz w:val="28"/>
          <w:szCs w:val="28"/>
          <w:shd w:val="clear" w:color="auto" w:fill="auto"/>
        </w:rPr>
        <w:t>illion cubic meters, up by 11.2%.</w:t>
      </w:r>
    </w:p>
    <w:p>
      <w:pPr>
        <w:rPr>
          <w:color w:val="auto"/>
          <w:sz w:val="28"/>
          <w:szCs w:val="28"/>
          <w:shd w:val="clear" w:color="auto" w:fill="auto"/>
        </w:rPr>
      </w:pPr>
      <w:r>
        <w:rPr>
          <w:color w:val="auto"/>
          <w:sz w:val="28"/>
          <w:szCs w:val="28"/>
          <w:shd w:val="clear" w:color="auto" w:fill="auto"/>
        </w:rPr>
        <w:t>Electricity consumption in Beijing totaled 128.08 billion KWH in 2022, with an increase of 3.9% over the previous year. Of which, the consumption for production amounted to 95.99 billion KWH, up by 1.4%; that for households in urban and rural areas reached 32.09 billion KWH, up by 12.1%.</w:t>
      </w:r>
    </w:p>
    <w:p>
      <w:pPr>
        <w:rPr>
          <w:color w:val="auto"/>
          <w:sz w:val="28"/>
          <w:szCs w:val="28"/>
          <w:shd w:val="clear" w:color="auto" w:fill="auto"/>
        </w:rPr>
      </w:pPr>
      <w:r>
        <w:rPr>
          <w:color w:val="auto"/>
          <w:sz w:val="28"/>
          <w:szCs w:val="28"/>
          <w:shd w:val="clear" w:color="auto" w:fill="auto"/>
        </w:rPr>
        <w:t>In 2022, total supply of natural gas</w:t>
      </w:r>
      <w:r>
        <w:rPr>
          <w:rStyle w:val="18"/>
          <w:color w:val="auto"/>
          <w:sz w:val="28"/>
          <w:szCs w:val="28"/>
          <w:shd w:val="clear" w:color="auto" w:fill="auto"/>
        </w:rPr>
        <w:endnoteReference w:id="8" w:customMarkFollows="1"/>
        <w:t>[9]</w:t>
      </w:r>
      <w:r>
        <w:rPr>
          <w:color w:val="auto"/>
          <w:sz w:val="28"/>
          <w:szCs w:val="28"/>
          <w:shd w:val="clear" w:color="auto" w:fill="auto"/>
        </w:rPr>
        <w:t xml:space="preserve"> stood at 19.91 billion cubic meters, up by 4.4% over the previous year; total supply of liquefied petroleum gas stood at 459</w:t>
      </w:r>
      <w:r>
        <w:rPr>
          <w:rFonts w:hint="eastAsia"/>
          <w:color w:val="auto"/>
          <w:sz w:val="28"/>
          <w:szCs w:val="28"/>
          <w:shd w:val="clear" w:color="auto" w:fill="auto"/>
        </w:rPr>
        <w:t xml:space="preserve"> thousands</w:t>
      </w:r>
      <w:r>
        <w:rPr>
          <w:color w:val="auto"/>
          <w:sz w:val="28"/>
          <w:szCs w:val="28"/>
          <w:shd w:val="clear" w:color="auto" w:fill="auto"/>
        </w:rPr>
        <w:t xml:space="preserve"> tons, up by 7.0%. By the end of 2022, a total of 9.630 million households had gained access to gas supply, up by 1.3%; of which, 7.501 million households had access to natural gas supply, up by 1.7%. By the end of 2022, total length of gas pipelines reached 31,596 km, up by 1.1%.</w:t>
      </w:r>
    </w:p>
    <w:p>
      <w:pPr>
        <w:rPr>
          <w:color w:val="auto"/>
          <w:sz w:val="28"/>
          <w:szCs w:val="28"/>
          <w:shd w:val="clear" w:color="auto" w:fill="auto"/>
        </w:rPr>
      </w:pPr>
      <w:r>
        <w:rPr>
          <w:color w:val="auto"/>
          <w:sz w:val="28"/>
          <w:szCs w:val="28"/>
          <w:shd w:val="clear" w:color="auto" w:fill="auto"/>
        </w:rPr>
        <w:t>Centralized heating area covering over 0.1 million square meters in Beijing totaled 706 million square meters, up by 3.3% over the previous year.</w:t>
      </w:r>
    </w:p>
    <w:p>
      <w:pPr>
        <w:widowControl/>
        <w:rPr>
          <w:b/>
          <w:sz w:val="28"/>
          <w:szCs w:val="28"/>
        </w:rPr>
      </w:pPr>
      <w:r>
        <w:rPr>
          <w:b/>
          <w:color w:val="auto"/>
          <w:sz w:val="28"/>
          <w:szCs w:val="28"/>
          <w:shd w:val="clear" w:color="auto" w:fill="auto"/>
        </w:rPr>
        <w:t xml:space="preserve">Safety </w:t>
      </w:r>
      <w:r>
        <w:rPr>
          <w:rFonts w:hint="eastAsia"/>
          <w:b/>
          <w:color w:val="auto"/>
          <w:sz w:val="28"/>
          <w:szCs w:val="28"/>
          <w:shd w:val="clear" w:color="auto" w:fill="auto"/>
        </w:rPr>
        <w:t>P</w:t>
      </w:r>
      <w:r>
        <w:rPr>
          <w:b/>
          <w:color w:val="auto"/>
          <w:sz w:val="28"/>
          <w:szCs w:val="28"/>
          <w:shd w:val="clear" w:color="auto" w:fill="auto"/>
        </w:rPr>
        <w:t>roduction</w:t>
      </w:r>
      <w:r>
        <w:rPr>
          <w:color w:val="auto"/>
          <w:sz w:val="28"/>
          <w:szCs w:val="28"/>
          <w:shd w:val="clear" w:color="auto" w:fill="auto"/>
        </w:rPr>
        <w:t xml:space="preserve">: A total of 381 accidents related to mining, commercial and trade, road transportation and fire connected with production and operation, railway, agricultural machinery, special equipment and civil aircraft occurred in 2022, which </w:t>
      </w:r>
      <w:bookmarkStart w:id="23" w:name="OLE_LINK45"/>
      <w:bookmarkStart w:id="24" w:name="OLE_LINK44"/>
      <w:r>
        <w:rPr>
          <w:color w:val="auto"/>
          <w:sz w:val="28"/>
          <w:szCs w:val="28"/>
          <w:shd w:val="clear" w:color="auto" w:fill="auto"/>
        </w:rPr>
        <w:t>caused 401 deaths</w:t>
      </w:r>
      <w:bookmarkEnd w:id="23"/>
      <w:bookmarkEnd w:id="24"/>
      <w:r>
        <w:rPr>
          <w:color w:val="auto"/>
          <w:sz w:val="28"/>
          <w:szCs w:val="28"/>
          <w:shd w:val="clear" w:color="auto" w:fill="auto"/>
        </w:rPr>
        <w:t>, down by 12.8% and 14.9% respectively over the previous year. Deaths in accidents rel</w:t>
      </w:r>
      <w:r>
        <w:rPr>
          <w:sz w:val="28"/>
          <w:szCs w:val="28"/>
        </w:rPr>
        <w:t xml:space="preserve">ated to safety production per </w:t>
      </w:r>
      <w:r>
        <w:rPr>
          <w:rFonts w:hint="eastAsia"/>
          <w:sz w:val="28"/>
          <w:szCs w:val="28"/>
        </w:rPr>
        <w:t xml:space="preserve">RMB </w:t>
      </w:r>
      <w:r>
        <w:rPr>
          <w:sz w:val="28"/>
          <w:szCs w:val="28"/>
        </w:rPr>
        <w:t xml:space="preserve">10 billion of GDP stood at 0.9637 person. </w:t>
      </w:r>
    </w:p>
    <w:p>
      <w:pPr>
        <w:outlineLvl w:val="0"/>
        <w:rPr>
          <w:rFonts w:eastAsia="黑体"/>
          <w:b/>
          <w:sz w:val="28"/>
          <w:szCs w:val="28"/>
        </w:rPr>
      </w:pPr>
      <w:r>
        <w:rPr>
          <w:rFonts w:eastAsia="仿宋_GB2312"/>
          <w:b/>
          <w:sz w:val="28"/>
          <w:szCs w:val="28"/>
        </w:rPr>
        <w:t>X</w:t>
      </w:r>
      <w:r>
        <w:rPr>
          <w:b/>
          <w:sz w:val="28"/>
          <w:szCs w:val="28"/>
        </w:rPr>
        <w:t>. People’s Living Conditions</w:t>
      </w:r>
      <w:r>
        <w:rPr>
          <w:rFonts w:hint="eastAsia"/>
          <w:b/>
          <w:sz w:val="28"/>
          <w:szCs w:val="28"/>
        </w:rPr>
        <w:t xml:space="preserve"> </w:t>
      </w:r>
      <w:r>
        <w:rPr>
          <w:b/>
          <w:sz w:val="28"/>
          <w:szCs w:val="28"/>
        </w:rPr>
        <w:t>and</w:t>
      </w:r>
      <w:r>
        <w:rPr>
          <w:rFonts w:hint="eastAsia"/>
          <w:b/>
          <w:sz w:val="28"/>
          <w:szCs w:val="28"/>
        </w:rPr>
        <w:t xml:space="preserve"> </w:t>
      </w:r>
      <w:r>
        <w:rPr>
          <w:b/>
          <w:sz w:val="28"/>
          <w:szCs w:val="28"/>
        </w:rPr>
        <w:t>Social Security</w:t>
      </w:r>
    </w:p>
    <w:p>
      <w:pPr>
        <w:rPr>
          <w:sz w:val="28"/>
          <w:szCs w:val="28"/>
        </w:rPr>
      </w:pPr>
      <w:r>
        <w:rPr>
          <w:b/>
          <w:sz w:val="28"/>
          <w:szCs w:val="28"/>
        </w:rPr>
        <w:t xml:space="preserve">People’s </w:t>
      </w:r>
      <w:r>
        <w:rPr>
          <w:rFonts w:hint="eastAsia"/>
          <w:b/>
          <w:sz w:val="28"/>
          <w:szCs w:val="28"/>
        </w:rPr>
        <w:t>L</w:t>
      </w:r>
      <w:r>
        <w:rPr>
          <w:b/>
          <w:sz w:val="28"/>
          <w:szCs w:val="28"/>
        </w:rPr>
        <w:t xml:space="preserve">iving </w:t>
      </w:r>
      <w:r>
        <w:rPr>
          <w:rFonts w:hint="eastAsia"/>
          <w:b/>
          <w:sz w:val="28"/>
          <w:szCs w:val="28"/>
        </w:rPr>
        <w:t>C</w:t>
      </w:r>
      <w:r>
        <w:rPr>
          <w:b/>
          <w:sz w:val="28"/>
          <w:szCs w:val="28"/>
        </w:rPr>
        <w:t>onditions:</w:t>
      </w:r>
      <w:r>
        <w:rPr>
          <w:sz w:val="28"/>
          <w:szCs w:val="28"/>
        </w:rPr>
        <w:t xml:space="preserve"> In 2022, the per capita disposable income of residents in Beijing reached RMB 77,415, up by 3.2% over the previous year, and up by 1.4% in real term after adjusting for inflation. Of which, the per capita disposal income of urban residents reached RMB 84,023, up by 3.1%, and that of rural residents reached RMB 34,754, up by 4.4%. </w:t>
      </w:r>
      <w:r>
        <w:rPr>
          <w:rFonts w:hint="eastAsia"/>
          <w:sz w:val="28"/>
          <w:szCs w:val="28"/>
        </w:rPr>
        <w:t xml:space="preserve">In terms of the four items of income composition, the per capita wage income of residents </w:t>
      </w:r>
      <w:r>
        <w:rPr>
          <w:sz w:val="28"/>
          <w:szCs w:val="28"/>
        </w:rPr>
        <w:t xml:space="preserve">in Beijing </w:t>
      </w:r>
      <w:r>
        <w:rPr>
          <w:rFonts w:hint="eastAsia"/>
          <w:sz w:val="28"/>
          <w:szCs w:val="28"/>
        </w:rPr>
        <w:t xml:space="preserve">was RMB </w:t>
      </w:r>
      <w:r>
        <w:rPr>
          <w:sz w:val="28"/>
          <w:szCs w:val="28"/>
        </w:rPr>
        <w:t xml:space="preserve">47,758, with an increase of 4.6%; </w:t>
      </w:r>
      <w:r>
        <w:rPr>
          <w:rFonts w:hint="eastAsia"/>
          <w:sz w:val="28"/>
          <w:szCs w:val="28"/>
        </w:rPr>
        <w:t xml:space="preserve">the per capita net </w:t>
      </w:r>
      <w:r>
        <w:rPr>
          <w:sz w:val="28"/>
          <w:szCs w:val="28"/>
        </w:rPr>
        <w:t xml:space="preserve">operating </w:t>
      </w:r>
      <w:r>
        <w:rPr>
          <w:rFonts w:hint="eastAsia"/>
          <w:sz w:val="28"/>
          <w:szCs w:val="28"/>
        </w:rPr>
        <w:t xml:space="preserve">income was RMB </w:t>
      </w:r>
      <w:r>
        <w:rPr>
          <w:sz w:val="28"/>
          <w:szCs w:val="28"/>
        </w:rPr>
        <w:t xml:space="preserve">903, with a decrease of 3.9%; </w:t>
      </w:r>
      <w:r>
        <w:rPr>
          <w:rFonts w:hint="eastAsia"/>
          <w:sz w:val="28"/>
          <w:szCs w:val="28"/>
        </w:rPr>
        <w:t>the per capita net property income was RMB 1</w:t>
      </w:r>
      <w:r>
        <w:rPr>
          <w:sz w:val="28"/>
          <w:szCs w:val="28"/>
        </w:rPr>
        <w:t>2,418, with a decrease of 0.3%;</w:t>
      </w:r>
      <w:r>
        <w:rPr>
          <w:rFonts w:hint="eastAsia"/>
          <w:sz w:val="28"/>
          <w:szCs w:val="28"/>
        </w:rPr>
        <w:t xml:space="preserve"> and the per capita net transfer income was RMB 1</w:t>
      </w:r>
      <w:r>
        <w:rPr>
          <w:sz w:val="28"/>
          <w:szCs w:val="28"/>
        </w:rPr>
        <w:t>6,336, with an increase of 2.6%.</w:t>
      </w:r>
    </w:p>
    <w:p>
      <w:pPr>
        <w:rPr>
          <w:b/>
          <w:sz w:val="28"/>
          <w:szCs w:val="28"/>
        </w:rPr>
      </w:pPr>
      <w:r>
        <w:rPr>
          <w:sz w:val="28"/>
          <w:szCs w:val="28"/>
        </w:rPr>
        <w:t>In 2022, the per capita consumption expenditure of residents in Beijing hit RMB 42,683, down by 2.2% over the previous year, of which, the per capita consumption expenditure of urban residents was RMB 45,617, down by 2.5%, and that of rural residents was RMB 23,745, up by 0.7%. The Engel coefficient of residents in Beijing was 21.6%, of which, that of urban residents was 21.1%, and that of rural residents was 27.4%.</w:t>
      </w:r>
    </w:p>
    <w:p>
      <w:pPr>
        <w:ind w:firstLine="481" w:firstLineChars="200"/>
        <w:jc w:val="center"/>
        <w:rPr>
          <w:rFonts w:ascii="仿宋_GB2312" w:eastAsia="仿宋_GB2312"/>
          <w:b/>
          <w:sz w:val="32"/>
          <w:szCs w:val="32"/>
        </w:rPr>
      </w:pPr>
      <w:r>
        <w:rPr>
          <w:b/>
          <w:sz w:val="24"/>
        </w:rPr>
        <w:t>Figure 7: Per Capita Disposable Income of Residents in Beijing and the Growth Rates from 2018 to 2022</w:t>
      </w:r>
    </w:p>
    <w:p>
      <w:pPr>
        <w:jc w:val="both"/>
        <w:rPr>
          <w:rFonts w:ascii="仿宋_GB2312" w:eastAsia="仿宋_GB2312"/>
          <w:b/>
          <w:sz w:val="32"/>
          <w:szCs w:val="32"/>
        </w:rPr>
      </w:pPr>
      <w:r>
        <w:drawing>
          <wp:inline distT="0" distB="0" distL="0" distR="0">
            <wp:extent cx="5649595" cy="3023870"/>
            <wp:effectExtent l="0" t="0" r="8255" b="5080"/>
            <wp:docPr id="79" name="图表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ind w:firstLine="481" w:firstLineChars="200"/>
        <w:jc w:val="center"/>
        <w:rPr>
          <w:rFonts w:ascii="仿宋_GB2312" w:eastAsia="仿宋_GB2312"/>
          <w:b/>
          <w:sz w:val="32"/>
          <w:szCs w:val="32"/>
        </w:rPr>
      </w:pPr>
      <w:r>
        <w:rPr>
          <w:b/>
          <w:sz w:val="24"/>
        </w:rPr>
        <w:t>Figure 8: Per Capita Consumption Expenditure of Residents in Beijing and the Composition in 2022</w:t>
      </w:r>
    </w:p>
    <w:p>
      <w:pPr>
        <w:tabs>
          <w:tab w:val="left" w:pos="1545"/>
        </w:tabs>
        <w:jc w:val="center"/>
        <w:rPr>
          <w:rFonts w:hint="eastAsia" w:ascii="楷体_GB2312" w:eastAsia="楷体_GB2312"/>
          <w:b/>
          <w:sz w:val="30"/>
          <w:szCs w:val="30"/>
          <w:lang w:eastAsia="zh-CN"/>
        </w:rPr>
      </w:pPr>
      <w:r>
        <w:drawing>
          <wp:inline distT="0" distB="0" distL="114300" distR="114300">
            <wp:extent cx="4810125" cy="3085465"/>
            <wp:effectExtent l="4445" t="4445" r="5080" b="15240"/>
            <wp:docPr id="25615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rPr>
          <w:color w:val="auto"/>
          <w:sz w:val="28"/>
          <w:szCs w:val="28"/>
          <w:shd w:val="clear" w:color="auto" w:fill="auto"/>
        </w:rPr>
      </w:pPr>
      <w:r>
        <w:rPr>
          <w:b/>
          <w:color w:val="auto"/>
          <w:sz w:val="28"/>
          <w:szCs w:val="28"/>
          <w:shd w:val="clear" w:color="auto" w:fill="auto"/>
        </w:rPr>
        <w:t>Social security:</w:t>
      </w:r>
      <w:r>
        <w:rPr>
          <w:color w:val="auto"/>
          <w:sz w:val="28"/>
          <w:szCs w:val="28"/>
          <w:shd w:val="clear" w:color="auto" w:fill="auto"/>
        </w:rPr>
        <w:t xml:space="preserve"> By the end of 2022, the number of people participating in basic pension insurance for enterprise staff, basic medical care insurance for urban staff, unemployment insurance, employment injury insurance and maternity insurance registered 17.642 million, 14.9</w:t>
      </w:r>
      <w:r>
        <w:rPr>
          <w:rFonts w:hint="eastAsia"/>
          <w:color w:val="auto"/>
          <w:sz w:val="28"/>
          <w:szCs w:val="28"/>
          <w:shd w:val="clear" w:color="auto" w:fill="auto"/>
        </w:rPr>
        <w:t>62</w:t>
      </w:r>
      <w:r>
        <w:rPr>
          <w:color w:val="auto"/>
          <w:sz w:val="28"/>
          <w:szCs w:val="28"/>
          <w:shd w:val="clear" w:color="auto" w:fill="auto"/>
        </w:rPr>
        <w:t xml:space="preserve"> million, 13</w:t>
      </w:r>
      <w:r>
        <w:rPr>
          <w:rFonts w:hint="eastAsia"/>
          <w:color w:val="auto"/>
          <w:sz w:val="28"/>
          <w:szCs w:val="28"/>
          <w:shd w:val="clear" w:color="auto" w:fill="auto"/>
        </w:rPr>
        <w:t>.</w:t>
      </w:r>
      <w:r>
        <w:rPr>
          <w:color w:val="auto"/>
          <w:sz w:val="28"/>
          <w:szCs w:val="28"/>
          <w:shd w:val="clear" w:color="auto" w:fill="auto"/>
        </w:rPr>
        <w:t>914 million, 13.378 million and 10.</w:t>
      </w:r>
      <w:r>
        <w:rPr>
          <w:rFonts w:hint="eastAsia"/>
          <w:color w:val="auto"/>
          <w:sz w:val="28"/>
          <w:szCs w:val="28"/>
          <w:shd w:val="clear" w:color="auto" w:fill="auto"/>
        </w:rPr>
        <w:t>866</w:t>
      </w:r>
      <w:r>
        <w:rPr>
          <w:color w:val="auto"/>
          <w:sz w:val="28"/>
          <w:szCs w:val="28"/>
          <w:shd w:val="clear" w:color="auto" w:fill="auto"/>
        </w:rPr>
        <w:t xml:space="preserve"> million respectively, increasing by 2.3%, 0.</w:t>
      </w:r>
      <w:r>
        <w:rPr>
          <w:rFonts w:hint="eastAsia"/>
          <w:color w:val="auto"/>
          <w:sz w:val="28"/>
          <w:szCs w:val="28"/>
          <w:shd w:val="clear" w:color="auto" w:fill="auto"/>
        </w:rPr>
        <w:t>7</w:t>
      </w:r>
      <w:r>
        <w:rPr>
          <w:color w:val="auto"/>
          <w:sz w:val="28"/>
          <w:szCs w:val="28"/>
          <w:shd w:val="clear" w:color="auto" w:fill="auto"/>
        </w:rPr>
        <w:t>%, 2.4%, 2.3% and 0.</w:t>
      </w:r>
      <w:r>
        <w:rPr>
          <w:rFonts w:hint="eastAsia"/>
          <w:color w:val="auto"/>
          <w:sz w:val="28"/>
          <w:szCs w:val="28"/>
          <w:shd w:val="clear" w:color="auto" w:fill="auto"/>
        </w:rPr>
        <w:t>4</w:t>
      </w:r>
      <w:r>
        <w:rPr>
          <w:color w:val="auto"/>
          <w:sz w:val="28"/>
          <w:szCs w:val="28"/>
          <w:shd w:val="clear" w:color="auto" w:fill="auto"/>
        </w:rPr>
        <w:t xml:space="preserve">% respectively </w:t>
      </w:r>
      <w:r>
        <w:rPr>
          <w:rFonts w:hint="eastAsia"/>
          <w:color w:val="auto"/>
          <w:sz w:val="28"/>
          <w:szCs w:val="28"/>
          <w:shd w:val="clear" w:color="auto" w:fill="auto"/>
        </w:rPr>
        <w:t>over</w:t>
      </w:r>
      <w:r>
        <w:rPr>
          <w:color w:val="auto"/>
          <w:sz w:val="28"/>
          <w:szCs w:val="28"/>
          <w:shd w:val="clear" w:color="auto" w:fill="auto"/>
        </w:rPr>
        <w:t xml:space="preserve"> the end of the previous year.</w:t>
      </w:r>
    </w:p>
    <w:p>
      <w:pPr>
        <w:rPr>
          <w:color w:val="auto"/>
          <w:sz w:val="28"/>
          <w:szCs w:val="28"/>
          <w:shd w:val="clear" w:color="auto" w:fill="auto"/>
        </w:rPr>
      </w:pPr>
      <w:r>
        <w:rPr>
          <w:color w:val="auto"/>
          <w:sz w:val="28"/>
          <w:szCs w:val="28"/>
          <w:shd w:val="clear" w:color="auto" w:fill="auto"/>
        </w:rPr>
        <w:t xml:space="preserve">By the end of 2022, people participating in pension insurance designed for urban and rural residents hit 1.876 million, and the number of people participating in basic medical care insurance for urban </w:t>
      </w:r>
      <w:r>
        <w:rPr>
          <w:rFonts w:hint="eastAsia"/>
          <w:color w:val="auto"/>
          <w:sz w:val="28"/>
          <w:szCs w:val="28"/>
          <w:shd w:val="clear" w:color="auto" w:fill="auto"/>
        </w:rPr>
        <w:t xml:space="preserve">and rural </w:t>
      </w:r>
      <w:r>
        <w:rPr>
          <w:color w:val="auto"/>
          <w:sz w:val="28"/>
          <w:szCs w:val="28"/>
          <w:shd w:val="clear" w:color="auto" w:fill="auto"/>
        </w:rPr>
        <w:t xml:space="preserve">residents amounted to </w:t>
      </w:r>
      <w:r>
        <w:rPr>
          <w:rFonts w:hint="eastAsia"/>
          <w:color w:val="auto"/>
          <w:sz w:val="28"/>
          <w:szCs w:val="28"/>
          <w:shd w:val="clear" w:color="auto" w:fill="auto"/>
          <w:lang w:val="en-US" w:eastAsia="zh-CN"/>
        </w:rPr>
        <w:t>4.044</w:t>
      </w:r>
      <w:r>
        <w:rPr>
          <w:color w:val="auto"/>
          <w:sz w:val="28"/>
          <w:szCs w:val="28"/>
          <w:shd w:val="clear" w:color="auto" w:fill="auto"/>
        </w:rPr>
        <w:t xml:space="preserve"> million.</w:t>
      </w:r>
    </w:p>
    <w:p>
      <w:pPr>
        <w:autoSpaceDE w:val="0"/>
        <w:autoSpaceDN w:val="0"/>
        <w:adjustRightInd w:val="0"/>
        <w:rPr>
          <w:sz w:val="28"/>
          <w:szCs w:val="28"/>
        </w:rPr>
      </w:pPr>
      <w:r>
        <w:rPr>
          <w:sz w:val="28"/>
          <w:szCs w:val="28"/>
        </w:rPr>
        <w:t xml:space="preserve">By the end of 2022, the number of people receiving the minimum living allowance in urban and rural areas amounted to 70 thousands and </w:t>
      </w:r>
      <w:r>
        <w:rPr>
          <w:rFonts w:hint="eastAsia"/>
          <w:sz w:val="28"/>
          <w:szCs w:val="28"/>
        </w:rPr>
        <w:t>3</w:t>
      </w:r>
      <w:r>
        <w:rPr>
          <w:sz w:val="28"/>
          <w:szCs w:val="28"/>
        </w:rPr>
        <w:t>7 thousands respectively.</w:t>
      </w:r>
    </w:p>
    <w:p>
      <w:pPr>
        <w:autoSpaceDE w:val="0"/>
        <w:autoSpaceDN w:val="0"/>
        <w:adjustRightInd w:val="0"/>
        <w:jc w:val="center"/>
        <w:rPr>
          <w:b/>
          <w:bCs/>
          <w:sz w:val="24"/>
        </w:rPr>
      </w:pPr>
      <w:r>
        <w:rPr>
          <w:b/>
          <w:sz w:val="24"/>
        </w:rPr>
        <w:t>Table 13: Social Welfare Standard in 2022</w:t>
      </w:r>
    </w:p>
    <w:p>
      <w:pPr>
        <w:autoSpaceDE w:val="0"/>
        <w:autoSpaceDN w:val="0"/>
        <w:adjustRightInd w:val="0"/>
        <w:jc w:val="right"/>
        <w:rPr>
          <w:szCs w:val="21"/>
        </w:rPr>
      </w:pPr>
      <w:r>
        <w:rPr>
          <w:szCs w:val="21"/>
        </w:rPr>
        <w:t>Unit: RMB/month</w:t>
      </w:r>
    </w:p>
    <w:tbl>
      <w:tblPr>
        <w:tblStyle w:val="14"/>
        <w:tblW w:w="875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71"/>
        <w:gridCol w:w="138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71" w:type="dxa"/>
            <w:vAlign w:val="center"/>
          </w:tcPr>
          <w:p>
            <w:pPr>
              <w:jc w:val="center"/>
              <w:rPr>
                <w:szCs w:val="21"/>
              </w:rPr>
            </w:pPr>
            <w:r>
              <w:rPr>
                <w:szCs w:val="21"/>
              </w:rPr>
              <w:t>Indicators</w:t>
            </w:r>
          </w:p>
        </w:tc>
        <w:tc>
          <w:tcPr>
            <w:tcW w:w="1388" w:type="dxa"/>
            <w:vAlign w:val="center"/>
          </w:tcPr>
          <w:p>
            <w:pPr>
              <w:jc w:val="center"/>
              <w:rPr>
                <w:szCs w:val="21"/>
              </w:rPr>
            </w:pPr>
            <w:r>
              <w:rPr>
                <w:szCs w:val="21"/>
              </w:rPr>
              <w:t>2022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71" w:type="dxa"/>
            <w:vAlign w:val="center"/>
          </w:tcPr>
          <w:p>
            <w:pPr>
              <w:rPr>
                <w:szCs w:val="21"/>
              </w:rPr>
            </w:pPr>
            <w:r>
              <w:rPr>
                <w:szCs w:val="21"/>
              </w:rPr>
              <w:t xml:space="preserve">Minimum </w:t>
            </w:r>
            <w:r>
              <w:rPr>
                <w:rFonts w:hint="eastAsia"/>
                <w:szCs w:val="21"/>
              </w:rPr>
              <w:t>S</w:t>
            </w:r>
            <w:r>
              <w:rPr>
                <w:szCs w:val="21"/>
              </w:rPr>
              <w:t xml:space="preserve">tandard for </w:t>
            </w:r>
            <w:r>
              <w:rPr>
                <w:rFonts w:hint="eastAsia"/>
                <w:szCs w:val="21"/>
              </w:rPr>
              <w:t>U</w:t>
            </w:r>
            <w:r>
              <w:rPr>
                <w:szCs w:val="21"/>
              </w:rPr>
              <w:t xml:space="preserve">nemployment </w:t>
            </w:r>
            <w:r>
              <w:rPr>
                <w:rFonts w:hint="eastAsia"/>
                <w:szCs w:val="21"/>
              </w:rPr>
              <w:t>I</w:t>
            </w:r>
            <w:r>
              <w:rPr>
                <w:szCs w:val="21"/>
              </w:rPr>
              <w:t xml:space="preserve">nsurance </w:t>
            </w:r>
            <w:r>
              <w:rPr>
                <w:rFonts w:hint="eastAsia"/>
                <w:szCs w:val="21"/>
              </w:rPr>
              <w:t>B</w:t>
            </w:r>
            <w:r>
              <w:rPr>
                <w:szCs w:val="21"/>
              </w:rPr>
              <w:t>enefits</w:t>
            </w:r>
          </w:p>
        </w:tc>
        <w:tc>
          <w:tcPr>
            <w:tcW w:w="1388" w:type="dxa"/>
            <w:tcMar>
              <w:left w:w="57" w:type="dxa"/>
              <w:right w:w="57" w:type="dxa"/>
            </w:tcMar>
            <w:vAlign w:val="center"/>
          </w:tcPr>
          <w:p>
            <w:pPr>
              <w:jc w:val="center"/>
              <w:rPr>
                <w:szCs w:val="21"/>
              </w:rPr>
            </w:pPr>
            <w:r>
              <w:rPr>
                <w:rFonts w:hint="eastAsia"/>
                <w:szCs w:val="21"/>
              </w:rPr>
              <w:t>2</w:t>
            </w:r>
            <w:r>
              <w:rPr>
                <w:szCs w:val="21"/>
              </w:rPr>
              <w:t>034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71" w:type="dxa"/>
            <w:vAlign w:val="center"/>
          </w:tcPr>
          <w:p>
            <w:pPr>
              <w:rPr>
                <w:szCs w:val="21"/>
              </w:rPr>
            </w:pPr>
            <w:r>
              <w:rPr>
                <w:szCs w:val="21"/>
              </w:rPr>
              <w:t xml:space="preserve">Minimum </w:t>
            </w:r>
            <w:r>
              <w:rPr>
                <w:rFonts w:hint="eastAsia"/>
                <w:szCs w:val="21"/>
              </w:rPr>
              <w:t>L</w:t>
            </w:r>
            <w:r>
              <w:rPr>
                <w:szCs w:val="21"/>
              </w:rPr>
              <w:t xml:space="preserve">iving </w:t>
            </w:r>
            <w:r>
              <w:rPr>
                <w:rFonts w:hint="eastAsia"/>
                <w:szCs w:val="21"/>
              </w:rPr>
              <w:t>A</w:t>
            </w:r>
            <w:r>
              <w:rPr>
                <w:szCs w:val="21"/>
              </w:rPr>
              <w:t xml:space="preserve">llowance </w:t>
            </w:r>
            <w:r>
              <w:rPr>
                <w:rFonts w:hint="eastAsia"/>
                <w:szCs w:val="21"/>
              </w:rPr>
              <w:t>S</w:t>
            </w:r>
            <w:r>
              <w:rPr>
                <w:szCs w:val="21"/>
              </w:rPr>
              <w:t xml:space="preserve">tandard for </w:t>
            </w:r>
            <w:r>
              <w:rPr>
                <w:rFonts w:hint="eastAsia"/>
                <w:szCs w:val="21"/>
              </w:rPr>
              <w:t>U</w:t>
            </w:r>
            <w:r>
              <w:rPr>
                <w:szCs w:val="21"/>
              </w:rPr>
              <w:t xml:space="preserve">rban </w:t>
            </w:r>
            <w:r>
              <w:rPr>
                <w:rFonts w:hint="eastAsia"/>
                <w:szCs w:val="21"/>
              </w:rPr>
              <w:t>and Rural R</w:t>
            </w:r>
            <w:r>
              <w:rPr>
                <w:szCs w:val="21"/>
              </w:rPr>
              <w:t>esidents</w:t>
            </w:r>
          </w:p>
        </w:tc>
        <w:tc>
          <w:tcPr>
            <w:tcW w:w="1388" w:type="dxa"/>
            <w:vAlign w:val="center"/>
          </w:tcPr>
          <w:p>
            <w:pPr>
              <w:jc w:val="center"/>
              <w:rPr>
                <w:szCs w:val="21"/>
              </w:rPr>
            </w:pPr>
            <w:r>
              <w:rPr>
                <w:szCs w:val="21"/>
              </w:rPr>
              <w:t>1320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71" w:type="dxa"/>
            <w:vAlign w:val="center"/>
          </w:tcPr>
          <w:p>
            <w:pPr>
              <w:rPr>
                <w:szCs w:val="21"/>
              </w:rPr>
            </w:pPr>
            <w:r>
              <w:rPr>
                <w:szCs w:val="21"/>
              </w:rPr>
              <w:t xml:space="preserve">Minimum </w:t>
            </w:r>
            <w:r>
              <w:rPr>
                <w:rFonts w:hint="eastAsia"/>
                <w:szCs w:val="21"/>
              </w:rPr>
              <w:t>W</w:t>
            </w:r>
            <w:r>
              <w:rPr>
                <w:szCs w:val="21"/>
              </w:rPr>
              <w:t xml:space="preserve">age </w:t>
            </w:r>
            <w:r>
              <w:rPr>
                <w:rFonts w:hint="eastAsia"/>
                <w:szCs w:val="21"/>
              </w:rPr>
              <w:t>S</w:t>
            </w:r>
            <w:r>
              <w:rPr>
                <w:szCs w:val="21"/>
              </w:rPr>
              <w:t xml:space="preserve">tandard for </w:t>
            </w:r>
            <w:r>
              <w:rPr>
                <w:rFonts w:hint="eastAsia"/>
                <w:szCs w:val="21"/>
              </w:rPr>
              <w:t>E</w:t>
            </w:r>
            <w:r>
              <w:rPr>
                <w:szCs w:val="21"/>
              </w:rPr>
              <w:t>mployees</w:t>
            </w:r>
          </w:p>
        </w:tc>
        <w:tc>
          <w:tcPr>
            <w:tcW w:w="1388" w:type="dxa"/>
            <w:vAlign w:val="center"/>
          </w:tcPr>
          <w:p>
            <w:pPr>
              <w:jc w:val="center"/>
              <w:rPr>
                <w:szCs w:val="21"/>
              </w:rPr>
            </w:pPr>
            <w:r>
              <w:rPr>
                <w:rFonts w:hint="eastAsia"/>
                <w:szCs w:val="21"/>
              </w:rPr>
              <w:t>2</w:t>
            </w:r>
            <w:r>
              <w:rPr>
                <w:szCs w:val="21"/>
              </w:rPr>
              <w:t>320</w:t>
            </w:r>
          </w:p>
        </w:tc>
      </w:tr>
    </w:tbl>
    <w:p>
      <w:pPr>
        <w:rPr>
          <w:rFonts w:eastAsia="仿宋_GB2312"/>
          <w:sz w:val="28"/>
          <w:szCs w:val="28"/>
        </w:rPr>
      </w:pPr>
      <w:r>
        <w:rPr>
          <w:sz w:val="28"/>
          <w:szCs w:val="28"/>
        </w:rPr>
        <w:t>By the end of 2022, there were a total of 61</w:t>
      </w:r>
      <w:r>
        <w:rPr>
          <w:color w:val="auto"/>
          <w:sz w:val="28"/>
          <w:szCs w:val="28"/>
          <w:shd w:val="clear" w:color="auto" w:fill="auto"/>
        </w:rPr>
        <w:t>2 civil service agencies that provided accommodation, with 117</w:t>
      </w:r>
      <w:r>
        <w:rPr>
          <w:sz w:val="28"/>
          <w:szCs w:val="28"/>
        </w:rPr>
        <w:t>.8</w:t>
      </w:r>
      <w:r>
        <w:rPr>
          <w:rFonts w:hint="eastAsia"/>
          <w:sz w:val="28"/>
          <w:szCs w:val="28"/>
        </w:rPr>
        <w:t xml:space="preserve"> thousands</w:t>
      </w:r>
      <w:r>
        <w:rPr>
          <w:sz w:val="28"/>
          <w:szCs w:val="28"/>
        </w:rPr>
        <w:t xml:space="preserve"> beds and a total of 44</w:t>
      </w:r>
      <w:r>
        <w:rPr>
          <w:rFonts w:hint="eastAsia"/>
          <w:sz w:val="28"/>
          <w:szCs w:val="28"/>
        </w:rPr>
        <w:t xml:space="preserve"> thousands</w:t>
      </w:r>
      <w:r>
        <w:rPr>
          <w:sz w:val="28"/>
          <w:szCs w:val="28"/>
        </w:rPr>
        <w:t xml:space="preserve"> people in hospital. </w:t>
      </w:r>
    </w:p>
    <w:p>
      <w:pPr>
        <w:outlineLvl w:val="0"/>
        <w:rPr>
          <w:rFonts w:eastAsia="黑体"/>
          <w:b/>
          <w:sz w:val="28"/>
          <w:szCs w:val="28"/>
        </w:rPr>
      </w:pPr>
      <w:r>
        <w:rPr>
          <w:b/>
          <w:sz w:val="28"/>
          <w:szCs w:val="28"/>
        </w:rPr>
        <w:t>XI. Education, Science and Technology, Culture and Tourism, Public Health and Sports</w:t>
      </w:r>
    </w:p>
    <w:p>
      <w:pPr>
        <w:rPr>
          <w:sz w:val="28"/>
          <w:szCs w:val="28"/>
        </w:rPr>
      </w:pPr>
      <w:r>
        <w:rPr>
          <w:b/>
          <w:sz w:val="28"/>
          <w:szCs w:val="28"/>
        </w:rPr>
        <w:t>Education</w:t>
      </w:r>
      <w:r>
        <w:rPr>
          <w:sz w:val="28"/>
          <w:szCs w:val="28"/>
        </w:rPr>
        <w:t>: In 2022, there were 146</w:t>
      </w:r>
      <w:r>
        <w:rPr>
          <w:rFonts w:hint="eastAsia"/>
          <w:sz w:val="28"/>
          <w:szCs w:val="28"/>
        </w:rPr>
        <w:t xml:space="preserve"> thousands</w:t>
      </w:r>
      <w:r>
        <w:rPr>
          <w:sz w:val="28"/>
          <w:szCs w:val="28"/>
        </w:rPr>
        <w:t xml:space="preserve"> students enrolled for postgraduate education, 435</w:t>
      </w:r>
      <w:r>
        <w:rPr>
          <w:rFonts w:hint="eastAsia"/>
          <w:sz w:val="28"/>
          <w:szCs w:val="28"/>
        </w:rPr>
        <w:t xml:space="preserve"> thousands</w:t>
      </w:r>
      <w:r>
        <w:rPr>
          <w:sz w:val="28"/>
          <w:szCs w:val="28"/>
        </w:rPr>
        <w:t xml:space="preserve"> postgraduates and 114</w:t>
      </w:r>
      <w:r>
        <w:rPr>
          <w:rFonts w:hint="eastAsia"/>
          <w:sz w:val="28"/>
          <w:szCs w:val="28"/>
        </w:rPr>
        <w:t xml:space="preserve"> thousands </w:t>
      </w:r>
      <w:r>
        <w:rPr>
          <w:sz w:val="28"/>
          <w:szCs w:val="28"/>
        </w:rPr>
        <w:t xml:space="preserve">graduates. </w:t>
      </w:r>
      <w:r>
        <w:rPr>
          <w:rFonts w:hint="eastAsia"/>
          <w:sz w:val="28"/>
          <w:szCs w:val="28"/>
        </w:rPr>
        <w:t>A</w:t>
      </w:r>
      <w:r>
        <w:rPr>
          <w:sz w:val="28"/>
          <w:szCs w:val="28"/>
        </w:rPr>
        <w:t xml:space="preserve"> total of 166</w:t>
      </w:r>
      <w:r>
        <w:rPr>
          <w:rFonts w:hint="eastAsia"/>
          <w:sz w:val="28"/>
          <w:szCs w:val="28"/>
        </w:rPr>
        <w:t xml:space="preserve"> thousands</w:t>
      </w:r>
      <w:r>
        <w:rPr>
          <w:sz w:val="28"/>
          <w:szCs w:val="28"/>
        </w:rPr>
        <w:t xml:space="preserve"> students were enrolled by universities and junior colleges in Beijing and number of non-graduating students and graduates registered 603</w:t>
      </w:r>
      <w:r>
        <w:rPr>
          <w:rFonts w:hint="eastAsia"/>
          <w:sz w:val="28"/>
          <w:szCs w:val="28"/>
        </w:rPr>
        <w:t xml:space="preserve"> thousands </w:t>
      </w:r>
      <w:r>
        <w:rPr>
          <w:sz w:val="28"/>
          <w:szCs w:val="28"/>
        </w:rPr>
        <w:t>and 154</w:t>
      </w:r>
      <w:r>
        <w:rPr>
          <w:rFonts w:hint="eastAsia"/>
          <w:sz w:val="28"/>
          <w:szCs w:val="28"/>
        </w:rPr>
        <w:t xml:space="preserve"> thousands</w:t>
      </w:r>
      <w:r>
        <w:rPr>
          <w:sz w:val="28"/>
          <w:szCs w:val="28"/>
        </w:rPr>
        <w:t xml:space="preserve"> respectively. As for universities and junior colleges for adults, newly enrolled students, non-graduating students and graduates amounted to 30</w:t>
      </w:r>
      <w:r>
        <w:rPr>
          <w:rFonts w:hint="eastAsia"/>
          <w:sz w:val="28"/>
          <w:szCs w:val="28"/>
        </w:rPr>
        <w:t xml:space="preserve"> thousands</w:t>
      </w:r>
      <w:r>
        <w:rPr>
          <w:sz w:val="28"/>
          <w:szCs w:val="28"/>
        </w:rPr>
        <w:t>, 78</w:t>
      </w:r>
      <w:r>
        <w:rPr>
          <w:rFonts w:hint="eastAsia"/>
          <w:sz w:val="28"/>
          <w:szCs w:val="28"/>
        </w:rPr>
        <w:t xml:space="preserve"> thousands</w:t>
      </w:r>
      <w:r>
        <w:rPr>
          <w:sz w:val="28"/>
          <w:szCs w:val="28"/>
        </w:rPr>
        <w:t xml:space="preserve"> and 39</w:t>
      </w:r>
      <w:r>
        <w:rPr>
          <w:rFonts w:hint="eastAsia"/>
          <w:sz w:val="28"/>
          <w:szCs w:val="28"/>
        </w:rPr>
        <w:t xml:space="preserve"> thousands </w:t>
      </w:r>
      <w:r>
        <w:rPr>
          <w:sz w:val="28"/>
          <w:szCs w:val="28"/>
        </w:rPr>
        <w:t>respectively.</w:t>
      </w:r>
    </w:p>
    <w:p>
      <w:pPr>
        <w:rPr>
          <w:sz w:val="28"/>
          <w:szCs w:val="28"/>
        </w:rPr>
      </w:pPr>
      <w:r>
        <w:rPr>
          <w:sz w:val="28"/>
          <w:szCs w:val="28"/>
        </w:rPr>
        <w:t>In 2022, the number of enrolled students, non-graduating students and graduates in high schools of Beijing amounted to 75</w:t>
      </w:r>
      <w:r>
        <w:rPr>
          <w:rFonts w:hint="eastAsia"/>
          <w:sz w:val="28"/>
          <w:szCs w:val="28"/>
        </w:rPr>
        <w:t xml:space="preserve"> thousands</w:t>
      </w:r>
      <w:r>
        <w:rPr>
          <w:sz w:val="28"/>
          <w:szCs w:val="28"/>
        </w:rPr>
        <w:t xml:space="preserve">, </w:t>
      </w:r>
      <w:r>
        <w:rPr>
          <w:rFonts w:hint="eastAsia"/>
          <w:sz w:val="28"/>
          <w:szCs w:val="28"/>
        </w:rPr>
        <w:t>1</w:t>
      </w:r>
      <w:r>
        <w:rPr>
          <w:sz w:val="28"/>
          <w:szCs w:val="28"/>
        </w:rPr>
        <w:t>99</w:t>
      </w:r>
      <w:r>
        <w:rPr>
          <w:rFonts w:hint="eastAsia"/>
          <w:sz w:val="28"/>
          <w:szCs w:val="28"/>
        </w:rPr>
        <w:t xml:space="preserve"> thousands</w:t>
      </w:r>
      <w:r>
        <w:rPr>
          <w:sz w:val="28"/>
          <w:szCs w:val="28"/>
        </w:rPr>
        <w:t xml:space="preserve"> and </w:t>
      </w:r>
      <w:r>
        <w:rPr>
          <w:rFonts w:hint="eastAsia"/>
          <w:sz w:val="28"/>
          <w:szCs w:val="28"/>
        </w:rPr>
        <w:t>5</w:t>
      </w:r>
      <w:r>
        <w:rPr>
          <w:sz w:val="28"/>
          <w:szCs w:val="28"/>
        </w:rPr>
        <w:t>0</w:t>
      </w:r>
      <w:r>
        <w:rPr>
          <w:rFonts w:hint="eastAsia"/>
          <w:sz w:val="28"/>
          <w:szCs w:val="28"/>
        </w:rPr>
        <w:t xml:space="preserve"> thousands</w:t>
      </w:r>
      <w:r>
        <w:rPr>
          <w:sz w:val="28"/>
          <w:szCs w:val="28"/>
        </w:rPr>
        <w:t xml:space="preserve"> respectively</w:t>
      </w:r>
      <w:r>
        <w:rPr>
          <w:rFonts w:hint="eastAsia"/>
          <w:sz w:val="28"/>
          <w:szCs w:val="28"/>
        </w:rPr>
        <w:t>. N</w:t>
      </w:r>
      <w:r>
        <w:rPr>
          <w:sz w:val="28"/>
          <w:szCs w:val="28"/>
        </w:rPr>
        <w:t>umber of enrolled students, non-graduating students and graduates in middle schools registered 121</w:t>
      </w:r>
      <w:r>
        <w:rPr>
          <w:rFonts w:hint="eastAsia"/>
          <w:sz w:val="28"/>
          <w:szCs w:val="28"/>
        </w:rPr>
        <w:t xml:space="preserve"> thousands</w:t>
      </w:r>
      <w:r>
        <w:rPr>
          <w:sz w:val="28"/>
          <w:szCs w:val="28"/>
        </w:rPr>
        <w:t>, 356</w:t>
      </w:r>
      <w:r>
        <w:rPr>
          <w:rFonts w:hint="eastAsia"/>
          <w:sz w:val="28"/>
          <w:szCs w:val="28"/>
        </w:rPr>
        <w:t xml:space="preserve"> thousands</w:t>
      </w:r>
      <w:r>
        <w:rPr>
          <w:sz w:val="28"/>
          <w:szCs w:val="28"/>
        </w:rPr>
        <w:t xml:space="preserve"> and 104</w:t>
      </w:r>
      <w:r>
        <w:rPr>
          <w:rFonts w:hint="eastAsia"/>
          <w:sz w:val="28"/>
          <w:szCs w:val="28"/>
        </w:rPr>
        <w:t xml:space="preserve"> thousands</w:t>
      </w:r>
      <w:r>
        <w:rPr>
          <w:sz w:val="28"/>
          <w:szCs w:val="28"/>
        </w:rPr>
        <w:t xml:space="preserve"> respectively</w:t>
      </w:r>
      <w:r>
        <w:rPr>
          <w:rFonts w:hint="eastAsia"/>
          <w:sz w:val="28"/>
          <w:szCs w:val="28"/>
        </w:rPr>
        <w:t>. T</w:t>
      </w:r>
      <w:r>
        <w:rPr>
          <w:sz w:val="28"/>
          <w:szCs w:val="28"/>
        </w:rPr>
        <w:t>hat in primary schools hit 190</w:t>
      </w:r>
      <w:r>
        <w:rPr>
          <w:rFonts w:hint="eastAsia"/>
          <w:sz w:val="28"/>
          <w:szCs w:val="28"/>
        </w:rPr>
        <w:t xml:space="preserve"> thousands</w:t>
      </w:r>
      <w:r>
        <w:rPr>
          <w:sz w:val="28"/>
          <w:szCs w:val="28"/>
        </w:rPr>
        <w:t>, 1,084 thousands and 133</w:t>
      </w:r>
      <w:r>
        <w:rPr>
          <w:rFonts w:hint="eastAsia"/>
          <w:sz w:val="28"/>
          <w:szCs w:val="28"/>
        </w:rPr>
        <w:t xml:space="preserve"> thousands</w:t>
      </w:r>
      <w:r>
        <w:rPr>
          <w:sz w:val="28"/>
          <w:szCs w:val="28"/>
        </w:rPr>
        <w:t xml:space="preserve"> respectively</w:t>
      </w:r>
      <w:r>
        <w:rPr>
          <w:rFonts w:hint="eastAsia"/>
          <w:sz w:val="28"/>
          <w:szCs w:val="28"/>
        </w:rPr>
        <w:t>. A</w:t>
      </w:r>
      <w:r>
        <w:rPr>
          <w:sz w:val="28"/>
          <w:szCs w:val="28"/>
        </w:rPr>
        <w:t>nd number of enrolled children and existing children in kindergartens reached 179</w:t>
      </w:r>
      <w:r>
        <w:rPr>
          <w:rFonts w:hint="eastAsia"/>
          <w:sz w:val="28"/>
          <w:szCs w:val="28"/>
        </w:rPr>
        <w:t xml:space="preserve"> thousands </w:t>
      </w:r>
      <w:r>
        <w:rPr>
          <w:sz w:val="28"/>
          <w:szCs w:val="28"/>
        </w:rPr>
        <w:t>and 574</w:t>
      </w:r>
      <w:r>
        <w:rPr>
          <w:rFonts w:hint="eastAsia"/>
          <w:sz w:val="28"/>
          <w:szCs w:val="28"/>
        </w:rPr>
        <w:t xml:space="preserve"> thousands</w:t>
      </w:r>
      <w:r>
        <w:rPr>
          <w:sz w:val="28"/>
          <w:szCs w:val="28"/>
        </w:rPr>
        <w:t xml:space="preserve"> respectively. Various secondary vocational schools (</w:t>
      </w:r>
      <w:r>
        <w:rPr>
          <w:rFonts w:hint="eastAsia"/>
          <w:sz w:val="28"/>
          <w:szCs w:val="28"/>
          <w:lang w:eastAsia="zh-Hans"/>
        </w:rPr>
        <w:t>excluding</w:t>
      </w:r>
      <w:r>
        <w:rPr>
          <w:sz w:val="28"/>
          <w:szCs w:val="28"/>
        </w:rPr>
        <w:t xml:space="preserve"> technical schools) enrolled 20</w:t>
      </w:r>
      <w:r>
        <w:rPr>
          <w:rFonts w:hint="eastAsia"/>
          <w:sz w:val="28"/>
          <w:szCs w:val="28"/>
        </w:rPr>
        <w:t xml:space="preserve"> thousands</w:t>
      </w:r>
      <w:r>
        <w:rPr>
          <w:sz w:val="28"/>
          <w:szCs w:val="28"/>
        </w:rPr>
        <w:t xml:space="preserve"> students, with non-graduating students of 55</w:t>
      </w:r>
      <w:r>
        <w:rPr>
          <w:rFonts w:hint="eastAsia"/>
          <w:sz w:val="28"/>
          <w:szCs w:val="28"/>
        </w:rPr>
        <w:t xml:space="preserve"> thousands</w:t>
      </w:r>
      <w:r>
        <w:rPr>
          <w:sz w:val="28"/>
          <w:szCs w:val="28"/>
        </w:rPr>
        <w:t xml:space="preserve"> and graduates of 13</w:t>
      </w:r>
      <w:r>
        <w:rPr>
          <w:rFonts w:hint="eastAsia"/>
          <w:sz w:val="28"/>
          <w:szCs w:val="28"/>
        </w:rPr>
        <w:t xml:space="preserve"> thousands</w:t>
      </w:r>
      <w:r>
        <w:rPr>
          <w:sz w:val="28"/>
          <w:szCs w:val="28"/>
        </w:rPr>
        <w:t>. Special education schools enrolled 1,110 students, with non-graduating students of 7,722 and graduates of 1,666.</w:t>
      </w:r>
    </w:p>
    <w:p>
      <w:pPr>
        <w:rPr>
          <w:sz w:val="28"/>
          <w:szCs w:val="28"/>
        </w:rPr>
      </w:pPr>
      <w:r>
        <w:rPr>
          <w:sz w:val="28"/>
          <w:szCs w:val="28"/>
        </w:rPr>
        <w:t>In 2022, there were a total of 15 private colleges and universities with non-graduating students of 54</w:t>
      </w:r>
      <w:r>
        <w:rPr>
          <w:rFonts w:hint="eastAsia"/>
          <w:sz w:val="28"/>
          <w:szCs w:val="28"/>
        </w:rPr>
        <w:t xml:space="preserve"> thousands</w:t>
      </w:r>
      <w:r>
        <w:rPr>
          <w:sz w:val="28"/>
          <w:szCs w:val="28"/>
        </w:rPr>
        <w:t>; private middle schools amounted to 124 with non-graduating students of 26</w:t>
      </w:r>
      <w:r>
        <w:rPr>
          <w:rFonts w:hint="eastAsia"/>
          <w:sz w:val="28"/>
          <w:szCs w:val="28"/>
        </w:rPr>
        <w:t xml:space="preserve"> thousands</w:t>
      </w:r>
      <w:r>
        <w:rPr>
          <w:sz w:val="28"/>
          <w:szCs w:val="28"/>
        </w:rPr>
        <w:t>; and private primary schools totaled 41 with non-graduating students of 38</w:t>
      </w:r>
      <w:r>
        <w:rPr>
          <w:rFonts w:hint="eastAsia"/>
          <w:sz w:val="28"/>
          <w:szCs w:val="28"/>
        </w:rPr>
        <w:t xml:space="preserve"> thousands. P</w:t>
      </w:r>
      <w:r>
        <w:rPr>
          <w:sz w:val="28"/>
          <w:szCs w:val="28"/>
        </w:rPr>
        <w:t>rivate kindergarten reached</w:t>
      </w:r>
      <w:r>
        <w:rPr>
          <w:rFonts w:hint="eastAsia"/>
          <w:sz w:val="28"/>
          <w:szCs w:val="28"/>
        </w:rPr>
        <w:t xml:space="preserve"> </w:t>
      </w:r>
      <w:r>
        <w:rPr>
          <w:sz w:val="28"/>
          <w:szCs w:val="28"/>
        </w:rPr>
        <w:t>1,037 with existing children of 245</w:t>
      </w:r>
      <w:r>
        <w:rPr>
          <w:rFonts w:hint="eastAsia"/>
          <w:sz w:val="28"/>
          <w:szCs w:val="28"/>
        </w:rPr>
        <w:t xml:space="preserve"> thousands</w:t>
      </w:r>
      <w:r>
        <w:rPr>
          <w:sz w:val="28"/>
          <w:szCs w:val="28"/>
        </w:rPr>
        <w:t>.</w:t>
      </w:r>
    </w:p>
    <w:p>
      <w:pPr>
        <w:rPr>
          <w:color w:val="auto"/>
          <w:sz w:val="28"/>
          <w:szCs w:val="28"/>
          <w:shd w:val="clear" w:color="auto" w:fill="auto"/>
        </w:rPr>
      </w:pPr>
      <w:r>
        <w:rPr>
          <w:b/>
          <w:sz w:val="28"/>
          <w:szCs w:val="28"/>
        </w:rPr>
        <w:t xml:space="preserve">Science and </w:t>
      </w:r>
      <w:r>
        <w:rPr>
          <w:rFonts w:hint="eastAsia"/>
          <w:b/>
          <w:sz w:val="28"/>
          <w:szCs w:val="28"/>
        </w:rPr>
        <w:t>T</w:t>
      </w:r>
      <w:r>
        <w:rPr>
          <w:b/>
          <w:sz w:val="28"/>
          <w:szCs w:val="28"/>
        </w:rPr>
        <w:t>echnology:</w:t>
      </w:r>
      <w:r>
        <w:rPr>
          <w:sz w:val="28"/>
          <w:szCs w:val="28"/>
        </w:rPr>
        <w:t xml:space="preserve"> In 2022, </w:t>
      </w:r>
      <w:r>
        <w:rPr>
          <w:rFonts w:hint="eastAsia"/>
          <w:sz w:val="28"/>
          <w:szCs w:val="28"/>
        </w:rPr>
        <w:t>n</w:t>
      </w:r>
      <w:r>
        <w:rPr>
          <w:sz w:val="28"/>
          <w:szCs w:val="28"/>
        </w:rPr>
        <w:t>umber of patent authorization amounted to 203</w:t>
      </w:r>
      <w:r>
        <w:rPr>
          <w:rFonts w:hint="eastAsia"/>
          <w:sz w:val="28"/>
          <w:szCs w:val="28"/>
        </w:rPr>
        <w:t xml:space="preserve"> thousands</w:t>
      </w:r>
      <w:r>
        <w:rPr>
          <w:sz w:val="28"/>
          <w:szCs w:val="28"/>
        </w:rPr>
        <w:t xml:space="preserve">, with a rise of 2.0% </w:t>
      </w:r>
      <w:r>
        <w:rPr>
          <w:rFonts w:hint="eastAsia"/>
          <w:sz w:val="28"/>
          <w:szCs w:val="28"/>
        </w:rPr>
        <w:t>over the previous year. O</w:t>
      </w:r>
      <w:r>
        <w:rPr>
          <w:sz w:val="28"/>
          <w:szCs w:val="28"/>
        </w:rPr>
        <w:t>f which</w:t>
      </w:r>
      <w:r>
        <w:rPr>
          <w:rFonts w:hint="eastAsia"/>
          <w:sz w:val="28"/>
          <w:szCs w:val="28"/>
        </w:rPr>
        <w:t>,</w:t>
      </w:r>
      <w:r>
        <w:rPr>
          <w:sz w:val="28"/>
          <w:szCs w:val="28"/>
        </w:rPr>
        <w:t xml:space="preserve"> the number of authorization related to invention patent hit 88</w:t>
      </w:r>
      <w:r>
        <w:rPr>
          <w:rFonts w:hint="eastAsia"/>
          <w:sz w:val="28"/>
          <w:szCs w:val="28"/>
        </w:rPr>
        <w:t xml:space="preserve"> thousands,</w:t>
      </w:r>
      <w:r>
        <w:rPr>
          <w:sz w:val="28"/>
          <w:szCs w:val="28"/>
        </w:rPr>
        <w:t xml:space="preserve"> with an increase of 11.3%. By the end of 2022, the total number of patents for i</w:t>
      </w:r>
      <w:r>
        <w:rPr>
          <w:color w:val="auto"/>
          <w:sz w:val="28"/>
          <w:szCs w:val="28"/>
          <w:shd w:val="clear" w:color="auto" w:fill="auto"/>
        </w:rPr>
        <w:t>nvention in force was 478</w:t>
      </w:r>
      <w:r>
        <w:rPr>
          <w:rFonts w:hint="eastAsia"/>
          <w:color w:val="auto"/>
          <w:sz w:val="28"/>
          <w:szCs w:val="28"/>
          <w:shd w:val="clear" w:color="auto" w:fill="auto"/>
        </w:rPr>
        <w:t xml:space="preserve"> thousands</w:t>
      </w:r>
      <w:r>
        <w:rPr>
          <w:color w:val="auto"/>
          <w:sz w:val="28"/>
          <w:szCs w:val="28"/>
          <w:shd w:val="clear" w:color="auto" w:fill="auto"/>
        </w:rPr>
        <w:t>, up by 18.0%</w:t>
      </w:r>
      <w:r>
        <w:rPr>
          <w:rFonts w:hint="eastAsia"/>
          <w:color w:val="auto"/>
          <w:sz w:val="28"/>
          <w:szCs w:val="28"/>
          <w:shd w:val="clear" w:color="auto" w:fill="auto"/>
        </w:rPr>
        <w:t>.</w:t>
      </w:r>
      <w:r>
        <w:rPr>
          <w:color w:val="auto"/>
          <w:sz w:val="28"/>
          <w:szCs w:val="28"/>
          <w:shd w:val="clear" w:color="auto" w:fill="auto"/>
        </w:rPr>
        <w:t xml:space="preserve"> </w:t>
      </w:r>
      <w:r>
        <w:rPr>
          <w:rFonts w:hint="default"/>
          <w:color w:val="auto"/>
          <w:sz w:val="28"/>
          <w:szCs w:val="28"/>
          <w:shd w:val="clear" w:color="auto" w:fill="auto"/>
          <w:lang w:val="en"/>
        </w:rPr>
        <w:t>T</w:t>
      </w:r>
      <w:r>
        <w:rPr>
          <w:color w:val="auto"/>
          <w:sz w:val="28"/>
          <w:szCs w:val="28"/>
          <w:shd w:val="clear" w:color="auto" w:fill="auto"/>
        </w:rPr>
        <w:t>he number of application related to PCT international patent amounted to 11,463, with an increase of 10.7%. The number of high-value invention patent ownership per 10,000 persons was 112.0, with an increase of 17.8 over the previous year. A total of 95,061 technology contracts were recognized and registered in 2022, up by 1.6%; and the total turnover of technology contracts achieved RMB 794</w:t>
      </w:r>
      <w:r>
        <w:rPr>
          <w:rFonts w:hint="eastAsia"/>
          <w:color w:val="auto"/>
          <w:sz w:val="28"/>
          <w:szCs w:val="28"/>
          <w:shd w:val="clear" w:color="auto" w:fill="auto"/>
        </w:rPr>
        <w:t>.</w:t>
      </w:r>
      <w:r>
        <w:rPr>
          <w:color w:val="auto"/>
          <w:sz w:val="28"/>
          <w:szCs w:val="28"/>
          <w:shd w:val="clear" w:color="auto" w:fill="auto"/>
        </w:rPr>
        <w:t>75 billion, up by 13.4%.</w:t>
      </w:r>
    </w:p>
    <w:p>
      <w:pPr>
        <w:rPr>
          <w:kern w:val="28"/>
          <w:sz w:val="28"/>
          <w:szCs w:val="28"/>
        </w:rPr>
      </w:pPr>
      <w:r>
        <w:rPr>
          <w:b/>
          <w:color w:val="auto"/>
          <w:kern w:val="28"/>
          <w:sz w:val="28"/>
          <w:szCs w:val="28"/>
          <w:shd w:val="clear" w:color="auto" w:fill="auto"/>
        </w:rPr>
        <w:t>Culture:</w:t>
      </w:r>
      <w:r>
        <w:rPr>
          <w:color w:val="auto"/>
          <w:sz w:val="28"/>
          <w:szCs w:val="28"/>
          <w:shd w:val="clear" w:color="auto" w:fill="auto"/>
        </w:rPr>
        <w:t xml:space="preserve"> By the end of 2022, there were 21 public libraries with a total number of visitors of 7.695 million person-times.</w:t>
      </w:r>
      <w:r>
        <w:rPr>
          <w:rFonts w:hint="eastAsia"/>
          <w:color w:val="auto"/>
          <w:sz w:val="28"/>
          <w:szCs w:val="28"/>
          <w:shd w:val="clear" w:color="auto" w:fill="auto"/>
        </w:rPr>
        <w:t xml:space="preserve"> </w:t>
      </w:r>
      <w:r>
        <w:rPr>
          <w:color w:val="auto"/>
          <w:sz w:val="28"/>
          <w:szCs w:val="28"/>
          <w:shd w:val="clear" w:color="auto" w:fill="auto"/>
        </w:rPr>
        <w:t>National a</w:t>
      </w:r>
      <w:r>
        <w:rPr>
          <w:rFonts w:hint="eastAsia"/>
          <w:color w:val="auto"/>
          <w:sz w:val="28"/>
          <w:szCs w:val="28"/>
          <w:shd w:val="clear" w:color="auto" w:fill="auto"/>
        </w:rPr>
        <w:t>rchi</w:t>
      </w:r>
      <w:r>
        <w:rPr>
          <w:color w:val="auto"/>
          <w:sz w:val="28"/>
          <w:szCs w:val="28"/>
          <w:shd w:val="clear" w:color="auto" w:fill="auto"/>
        </w:rPr>
        <w:t>ves totaled 18 with 10.495</w:t>
      </w:r>
      <w:r>
        <w:rPr>
          <w:rFonts w:hint="eastAsia"/>
          <w:color w:val="auto"/>
          <w:sz w:val="28"/>
          <w:szCs w:val="28"/>
          <w:shd w:val="clear" w:color="auto" w:fill="auto"/>
        </w:rPr>
        <w:t xml:space="preserve"> million</w:t>
      </w:r>
      <w:r>
        <w:rPr>
          <w:color w:val="auto"/>
          <w:sz w:val="28"/>
          <w:szCs w:val="28"/>
          <w:shd w:val="clear" w:color="auto" w:fill="auto"/>
        </w:rPr>
        <w:t xml:space="preserve"> of paper archives.</w:t>
      </w:r>
      <w:r>
        <w:rPr>
          <w:rFonts w:hint="eastAsia"/>
          <w:color w:val="auto"/>
          <w:sz w:val="28"/>
          <w:szCs w:val="28"/>
          <w:shd w:val="clear" w:color="auto" w:fill="auto"/>
        </w:rPr>
        <w:t xml:space="preserve"> </w:t>
      </w:r>
      <w:r>
        <w:rPr>
          <w:color w:val="auto"/>
          <w:sz w:val="28"/>
          <w:szCs w:val="28"/>
          <w:shd w:val="clear" w:color="auto" w:fill="auto"/>
        </w:rPr>
        <w:t>Filed museums amounted to 210 with 100 open for free.</w:t>
      </w:r>
      <w:r>
        <w:rPr>
          <w:rFonts w:hint="eastAsia"/>
          <w:color w:val="auto"/>
          <w:sz w:val="28"/>
          <w:szCs w:val="28"/>
          <w:shd w:val="clear" w:color="auto" w:fill="auto"/>
        </w:rPr>
        <w:t xml:space="preserve"> </w:t>
      </w:r>
      <w:r>
        <w:rPr>
          <w:color w:val="auto"/>
          <w:sz w:val="28"/>
          <w:szCs w:val="28"/>
          <w:shd w:val="clear" w:color="auto" w:fill="auto"/>
        </w:rPr>
        <w:t>Popular art galleries and cultural centers</w:t>
      </w:r>
      <w:r>
        <w:rPr>
          <w:rFonts w:hint="eastAsia"/>
          <w:color w:val="auto"/>
          <w:sz w:val="28"/>
          <w:szCs w:val="28"/>
          <w:shd w:val="clear" w:color="auto" w:fill="auto"/>
        </w:rPr>
        <w:t xml:space="preserve"> </w:t>
      </w:r>
      <w:r>
        <w:rPr>
          <w:color w:val="auto"/>
          <w:sz w:val="28"/>
          <w:szCs w:val="28"/>
          <w:shd w:val="clear" w:color="auto" w:fill="auto"/>
        </w:rPr>
        <w:t>amounted to 18. In</w:t>
      </w:r>
      <w:r>
        <w:rPr>
          <w:color w:val="auto"/>
          <w:kern w:val="28"/>
          <w:sz w:val="28"/>
          <w:szCs w:val="28"/>
          <w:shd w:val="clear" w:color="auto" w:fill="auto"/>
        </w:rPr>
        <w:t xml:space="preserve"> Beijing, the total number of newspapers </w:t>
      </w:r>
      <w:r>
        <w:rPr>
          <w:rFonts w:hint="eastAsia"/>
          <w:color w:val="auto"/>
          <w:kern w:val="28"/>
          <w:sz w:val="28"/>
          <w:szCs w:val="28"/>
          <w:shd w:val="clear" w:color="auto" w:fill="auto"/>
        </w:rPr>
        <w:t>and periodica</w:t>
      </w:r>
      <w:r>
        <w:rPr>
          <w:rFonts w:hint="eastAsia"/>
          <w:kern w:val="28"/>
          <w:sz w:val="28"/>
          <w:szCs w:val="28"/>
        </w:rPr>
        <w:t xml:space="preserve">ls </w:t>
      </w:r>
      <w:r>
        <w:rPr>
          <w:kern w:val="28"/>
          <w:sz w:val="28"/>
          <w:szCs w:val="28"/>
        </w:rPr>
        <w:t>registered 3,514; the number of publishing houses was 240; the number of publication issuing units was 10</w:t>
      </w:r>
      <w:r>
        <w:rPr>
          <w:rFonts w:hint="eastAsia"/>
          <w:kern w:val="28"/>
          <w:sz w:val="28"/>
          <w:szCs w:val="28"/>
        </w:rPr>
        <w:t>,</w:t>
      </w:r>
      <w:r>
        <w:rPr>
          <w:kern w:val="28"/>
          <w:sz w:val="28"/>
          <w:szCs w:val="28"/>
        </w:rPr>
        <w:t>419; the number of publication copyright introduced was 7</w:t>
      </w:r>
      <w:r>
        <w:rPr>
          <w:rFonts w:hint="eastAsia"/>
          <w:kern w:val="28"/>
          <w:sz w:val="28"/>
          <w:szCs w:val="28"/>
        </w:rPr>
        <w:t>,</w:t>
      </w:r>
      <w:r>
        <w:rPr>
          <w:kern w:val="28"/>
          <w:sz w:val="28"/>
          <w:szCs w:val="28"/>
        </w:rPr>
        <w:t xml:space="preserve">446; and the number of copyright registered 1.054 million. By the end of 2022, the actual number of cable television subscribers reached 6.101 million, of which, the actual number of HD television subscribers amounted to 3.442 million and the actual number of ultra HD (4K) television subscribers amounted to 1.937 million. 36 TV series of 1,260 episodes, 20 TV cartoon programs of 4,351 minutes, 150 documentaries, 58 web series, 98 </w:t>
      </w:r>
      <w:r>
        <w:rPr>
          <w:rFonts w:hint="eastAsia"/>
          <w:kern w:val="28"/>
          <w:sz w:val="28"/>
          <w:szCs w:val="28"/>
        </w:rPr>
        <w:t>I</w:t>
      </w:r>
      <w:r>
        <w:rPr>
          <w:kern w:val="28"/>
          <w:sz w:val="28"/>
          <w:szCs w:val="28"/>
        </w:rPr>
        <w:t xml:space="preserve">nternet movies, 43 web mini-plays and 28 web cartoon programs were produced in 2022. </w:t>
      </w:r>
      <w:r>
        <w:rPr>
          <w:rFonts w:hint="eastAsia"/>
          <w:kern w:val="28"/>
          <w:sz w:val="28"/>
          <w:szCs w:val="28"/>
        </w:rPr>
        <w:t>1</w:t>
      </w:r>
      <w:r>
        <w:rPr>
          <w:kern w:val="28"/>
          <w:sz w:val="28"/>
          <w:szCs w:val="28"/>
        </w:rPr>
        <w:t>35</w:t>
      </w:r>
      <w:r>
        <w:rPr>
          <w:rFonts w:hint="eastAsia"/>
          <w:kern w:val="28"/>
          <w:sz w:val="28"/>
          <w:szCs w:val="28"/>
        </w:rPr>
        <w:t xml:space="preserve"> films were produced throughout the year; t</w:t>
      </w:r>
      <w:r>
        <w:rPr>
          <w:kern w:val="28"/>
          <w:sz w:val="28"/>
          <w:szCs w:val="28"/>
        </w:rPr>
        <w:t>here were 292 cinemas under 30 theater chains, showing films for 2.629 million times and attracting audience of 25.754 million person-times, which gained box office earnings of RMB 1.42 billion.</w:t>
      </w:r>
    </w:p>
    <w:p>
      <w:pPr>
        <w:rPr>
          <w:rFonts w:eastAsia="仿宋_GB2312"/>
          <w:kern w:val="28"/>
          <w:sz w:val="28"/>
          <w:szCs w:val="28"/>
        </w:rPr>
      </w:pPr>
      <w:r>
        <w:rPr>
          <w:b/>
          <w:sz w:val="28"/>
          <w:szCs w:val="28"/>
        </w:rPr>
        <w:t>Tourism:</w:t>
      </w:r>
      <w:r>
        <w:rPr>
          <w:sz w:val="28"/>
          <w:szCs w:val="28"/>
        </w:rPr>
        <w:t xml:space="preserve"> In 2022, total number of tourists reached 0.18 billion person-times, down by 28</w:t>
      </w:r>
      <w:r>
        <w:rPr>
          <w:rFonts w:hint="eastAsia"/>
          <w:sz w:val="28"/>
          <w:szCs w:val="28"/>
        </w:rPr>
        <w:t>.</w:t>
      </w:r>
      <w:r>
        <w:rPr>
          <w:sz w:val="28"/>
          <w:szCs w:val="28"/>
        </w:rPr>
        <w:t>5% over the previous year; total income of tourism reached RMB 252.03 billion, down by 39.5%. Of which, total number of domestic tourists reached 0.18 billion person-times, down by</w:t>
      </w:r>
      <w:r>
        <w:rPr>
          <w:rFonts w:hint="eastAsia"/>
          <w:sz w:val="28"/>
          <w:szCs w:val="28"/>
        </w:rPr>
        <w:t xml:space="preserve"> </w:t>
      </w:r>
      <w:r>
        <w:rPr>
          <w:sz w:val="28"/>
          <w:szCs w:val="28"/>
        </w:rPr>
        <w:t>28</w:t>
      </w:r>
      <w:r>
        <w:rPr>
          <w:rFonts w:hint="eastAsia"/>
          <w:sz w:val="28"/>
          <w:szCs w:val="28"/>
        </w:rPr>
        <w:t>.</w:t>
      </w:r>
      <w:r>
        <w:rPr>
          <w:sz w:val="28"/>
          <w:szCs w:val="28"/>
        </w:rPr>
        <w:t>6%; total income from domestic tourism realized RMB 249</w:t>
      </w:r>
      <w:r>
        <w:rPr>
          <w:rFonts w:hint="eastAsia"/>
          <w:sz w:val="28"/>
          <w:szCs w:val="28"/>
        </w:rPr>
        <w:t>.</w:t>
      </w:r>
      <w:r>
        <w:rPr>
          <w:sz w:val="28"/>
          <w:szCs w:val="28"/>
        </w:rPr>
        <w:t>09 billion, down by 39.8%. Number of inbound tourists registered 241</w:t>
      </w:r>
      <w:r>
        <w:rPr>
          <w:rFonts w:hint="eastAsia"/>
          <w:sz w:val="28"/>
          <w:szCs w:val="28"/>
        </w:rPr>
        <w:t xml:space="preserve"> thousands</w:t>
      </w:r>
      <w:r>
        <w:rPr>
          <w:sz w:val="28"/>
          <w:szCs w:val="28"/>
        </w:rPr>
        <w:t xml:space="preserve"> person-times, down by 1</w:t>
      </w:r>
      <w:r>
        <w:rPr>
          <w:rFonts w:hint="eastAsia"/>
          <w:sz w:val="28"/>
          <w:szCs w:val="28"/>
        </w:rPr>
        <w:t>.</w:t>
      </w:r>
      <w:r>
        <w:rPr>
          <w:sz w:val="28"/>
          <w:szCs w:val="28"/>
        </w:rPr>
        <w:t xml:space="preserve">6%. Foreign exchange income from foreign tourism totaled USD </w:t>
      </w:r>
      <w:r>
        <w:rPr>
          <w:rFonts w:hint="eastAsia"/>
          <w:sz w:val="28"/>
          <w:szCs w:val="28"/>
        </w:rPr>
        <w:t>0.4</w:t>
      </w:r>
      <w:r>
        <w:rPr>
          <w:sz w:val="28"/>
          <w:szCs w:val="28"/>
        </w:rPr>
        <w:t>4</w:t>
      </w:r>
      <w:r>
        <w:rPr>
          <w:rFonts w:hint="eastAsia"/>
          <w:sz w:val="28"/>
          <w:szCs w:val="28"/>
        </w:rPr>
        <w:t xml:space="preserve"> b</w:t>
      </w:r>
      <w:r>
        <w:rPr>
          <w:sz w:val="28"/>
          <w:szCs w:val="28"/>
        </w:rPr>
        <w:t>illion, up by 2</w:t>
      </w:r>
      <w:r>
        <w:rPr>
          <w:rFonts w:hint="eastAsia"/>
          <w:sz w:val="28"/>
          <w:szCs w:val="28"/>
        </w:rPr>
        <w:t>.</w:t>
      </w:r>
      <w:r>
        <w:rPr>
          <w:sz w:val="28"/>
          <w:szCs w:val="28"/>
        </w:rPr>
        <w:t xml:space="preserve">3%. </w:t>
      </w:r>
    </w:p>
    <w:p>
      <w:pPr>
        <w:rPr>
          <w:kern w:val="28"/>
          <w:sz w:val="28"/>
          <w:szCs w:val="28"/>
        </w:rPr>
      </w:pPr>
      <w:r>
        <w:rPr>
          <w:b/>
          <w:kern w:val="28"/>
          <w:sz w:val="28"/>
          <w:szCs w:val="28"/>
        </w:rPr>
        <w:t xml:space="preserve">Public </w:t>
      </w:r>
      <w:r>
        <w:rPr>
          <w:rFonts w:hint="eastAsia"/>
          <w:b/>
          <w:kern w:val="28"/>
          <w:sz w:val="28"/>
          <w:szCs w:val="28"/>
        </w:rPr>
        <w:t>H</w:t>
      </w:r>
      <w:r>
        <w:rPr>
          <w:b/>
          <w:kern w:val="28"/>
          <w:sz w:val="28"/>
          <w:szCs w:val="28"/>
        </w:rPr>
        <w:t>ealth:</w:t>
      </w:r>
      <w:r>
        <w:rPr>
          <w:kern w:val="28"/>
          <w:sz w:val="28"/>
          <w:szCs w:val="28"/>
        </w:rPr>
        <w:t xml:space="preserve"> By the end of 20</w:t>
      </w:r>
      <w:r>
        <w:rPr>
          <w:rFonts w:hint="eastAsia"/>
          <w:kern w:val="28"/>
          <w:sz w:val="28"/>
          <w:szCs w:val="28"/>
        </w:rPr>
        <w:t>2</w:t>
      </w:r>
      <w:r>
        <w:rPr>
          <w:kern w:val="28"/>
          <w:sz w:val="28"/>
          <w:szCs w:val="28"/>
        </w:rPr>
        <w:t>2, there were 12,211 medical and heal</w:t>
      </w:r>
      <w:r>
        <w:rPr>
          <w:color w:val="auto"/>
          <w:kern w:val="28"/>
          <w:sz w:val="28"/>
          <w:szCs w:val="28"/>
          <w:shd w:val="clear" w:color="auto" w:fill="auto"/>
        </w:rPr>
        <w:t>th institutions</w:t>
      </w:r>
      <w:r>
        <w:rPr>
          <w:rStyle w:val="18"/>
          <w:color w:val="auto"/>
          <w:kern w:val="28"/>
          <w:sz w:val="28"/>
          <w:szCs w:val="28"/>
          <w:shd w:val="clear" w:color="auto" w:fill="auto"/>
        </w:rPr>
        <w:endnoteReference w:id="9" w:customMarkFollows="1"/>
        <w:t>[10]</w:t>
      </w:r>
      <w:r>
        <w:rPr>
          <w:color w:val="auto"/>
          <w:kern w:val="28"/>
          <w:sz w:val="28"/>
          <w:szCs w:val="28"/>
          <w:shd w:val="clear" w:color="auto" w:fill="auto"/>
        </w:rPr>
        <w:t xml:space="preserve"> in </w:t>
      </w:r>
      <w:r>
        <w:rPr>
          <w:kern w:val="28"/>
          <w:sz w:val="28"/>
          <w:szCs w:val="28"/>
        </w:rPr>
        <w:t>Beijing, with an increase of 484 over the end of the previous year. O</w:t>
      </w:r>
      <w:r>
        <w:rPr>
          <w:rFonts w:hint="eastAsia"/>
          <w:kern w:val="28"/>
          <w:sz w:val="28"/>
          <w:szCs w:val="28"/>
        </w:rPr>
        <w:t xml:space="preserve">f which, </w:t>
      </w:r>
      <w:r>
        <w:rPr>
          <w:kern w:val="28"/>
          <w:sz w:val="28"/>
          <w:szCs w:val="28"/>
        </w:rPr>
        <w:t xml:space="preserve">hospitals totaled </w:t>
      </w:r>
      <w:r>
        <w:rPr>
          <w:rFonts w:hint="eastAsia"/>
          <w:kern w:val="28"/>
          <w:sz w:val="28"/>
          <w:szCs w:val="28"/>
        </w:rPr>
        <w:t>7</w:t>
      </w:r>
      <w:r>
        <w:rPr>
          <w:kern w:val="28"/>
          <w:sz w:val="28"/>
          <w:szCs w:val="28"/>
        </w:rPr>
        <w:t xml:space="preserve">41. There were </w:t>
      </w:r>
      <w:r>
        <w:rPr>
          <w:rFonts w:hint="eastAsia"/>
          <w:kern w:val="28"/>
          <w:sz w:val="28"/>
          <w:szCs w:val="28"/>
        </w:rPr>
        <w:t>1</w:t>
      </w:r>
      <w:r>
        <w:rPr>
          <w:kern w:val="28"/>
          <w:sz w:val="28"/>
          <w:szCs w:val="28"/>
        </w:rPr>
        <w:t>34</w:t>
      </w:r>
      <w:r>
        <w:rPr>
          <w:rFonts w:hint="eastAsia"/>
          <w:kern w:val="28"/>
          <w:sz w:val="28"/>
          <w:szCs w:val="28"/>
        </w:rPr>
        <w:t xml:space="preserve"> thousands </w:t>
      </w:r>
      <w:r>
        <w:rPr>
          <w:kern w:val="28"/>
          <w:sz w:val="28"/>
          <w:szCs w:val="28"/>
        </w:rPr>
        <w:t>beds in medical institutions, with an increase of 4 thousands. O</w:t>
      </w:r>
      <w:r>
        <w:rPr>
          <w:rFonts w:hint="eastAsia"/>
          <w:kern w:val="28"/>
          <w:sz w:val="28"/>
          <w:szCs w:val="28"/>
        </w:rPr>
        <w:t>f which,</w:t>
      </w:r>
      <w:r>
        <w:rPr>
          <w:kern w:val="28"/>
          <w:sz w:val="28"/>
          <w:szCs w:val="28"/>
        </w:rPr>
        <w:t xml:space="preserve"> beds in hospitals amounted to </w:t>
      </w:r>
      <w:r>
        <w:rPr>
          <w:rFonts w:hint="eastAsia"/>
          <w:kern w:val="28"/>
          <w:sz w:val="28"/>
          <w:szCs w:val="28"/>
        </w:rPr>
        <w:t>1</w:t>
      </w:r>
      <w:r>
        <w:rPr>
          <w:kern w:val="28"/>
          <w:sz w:val="28"/>
          <w:szCs w:val="28"/>
        </w:rPr>
        <w:t>26</w:t>
      </w:r>
      <w:r>
        <w:rPr>
          <w:rFonts w:hint="eastAsia"/>
          <w:kern w:val="28"/>
          <w:sz w:val="28"/>
          <w:szCs w:val="28"/>
        </w:rPr>
        <w:t xml:space="preserve"> thousands</w:t>
      </w:r>
      <w:r>
        <w:rPr>
          <w:kern w:val="28"/>
          <w:sz w:val="28"/>
          <w:szCs w:val="28"/>
        </w:rPr>
        <w:t xml:space="preserve">. The number of health technical personnel was </w:t>
      </w:r>
      <w:r>
        <w:rPr>
          <w:rFonts w:hint="eastAsia"/>
          <w:kern w:val="28"/>
          <w:sz w:val="28"/>
          <w:szCs w:val="28"/>
        </w:rPr>
        <w:t>3</w:t>
      </w:r>
      <w:r>
        <w:rPr>
          <w:kern w:val="28"/>
          <w:sz w:val="28"/>
          <w:szCs w:val="28"/>
        </w:rPr>
        <w:t>22</w:t>
      </w:r>
      <w:r>
        <w:rPr>
          <w:rFonts w:hint="eastAsia"/>
          <w:kern w:val="28"/>
          <w:sz w:val="28"/>
          <w:szCs w:val="28"/>
        </w:rPr>
        <w:t xml:space="preserve"> thousands</w:t>
      </w:r>
      <w:r>
        <w:rPr>
          <w:rFonts w:hint="default"/>
          <w:kern w:val="28"/>
          <w:sz w:val="28"/>
          <w:szCs w:val="28"/>
          <w:lang w:val="en"/>
        </w:rPr>
        <w:t>;</w:t>
      </w:r>
      <w:r>
        <w:rPr>
          <w:rFonts w:hint="eastAsia"/>
          <w:kern w:val="28"/>
          <w:sz w:val="28"/>
          <w:szCs w:val="28"/>
        </w:rPr>
        <w:t xml:space="preserve"> </w:t>
      </w:r>
      <w:r>
        <w:rPr>
          <w:rFonts w:hint="default"/>
          <w:kern w:val="28"/>
          <w:sz w:val="28"/>
          <w:szCs w:val="28"/>
          <w:lang w:val="en"/>
        </w:rPr>
        <w:t>o</w:t>
      </w:r>
      <w:r>
        <w:rPr>
          <w:kern w:val="28"/>
          <w:sz w:val="28"/>
          <w:szCs w:val="28"/>
        </w:rPr>
        <w:t xml:space="preserve">f which, the number of practicing (assistant) doctors and registered nurses reached </w:t>
      </w:r>
      <w:r>
        <w:rPr>
          <w:rFonts w:hint="eastAsia"/>
          <w:kern w:val="28"/>
          <w:sz w:val="28"/>
          <w:szCs w:val="28"/>
        </w:rPr>
        <w:t>1</w:t>
      </w:r>
      <w:r>
        <w:rPr>
          <w:kern w:val="28"/>
          <w:sz w:val="28"/>
          <w:szCs w:val="28"/>
        </w:rPr>
        <w:t>25</w:t>
      </w:r>
      <w:r>
        <w:rPr>
          <w:rFonts w:hint="eastAsia"/>
          <w:kern w:val="28"/>
          <w:sz w:val="28"/>
          <w:szCs w:val="28"/>
        </w:rPr>
        <w:t xml:space="preserve"> thousands</w:t>
      </w:r>
      <w:r>
        <w:rPr>
          <w:kern w:val="28"/>
          <w:sz w:val="28"/>
          <w:szCs w:val="28"/>
        </w:rPr>
        <w:t xml:space="preserve"> and </w:t>
      </w:r>
      <w:r>
        <w:rPr>
          <w:rFonts w:hint="eastAsia"/>
          <w:kern w:val="28"/>
          <w:sz w:val="28"/>
          <w:szCs w:val="28"/>
        </w:rPr>
        <w:t>1</w:t>
      </w:r>
      <w:r>
        <w:rPr>
          <w:kern w:val="28"/>
          <w:sz w:val="28"/>
          <w:szCs w:val="28"/>
        </w:rPr>
        <w:t>43</w:t>
      </w:r>
      <w:r>
        <w:rPr>
          <w:rFonts w:hint="eastAsia"/>
          <w:kern w:val="28"/>
          <w:sz w:val="28"/>
          <w:szCs w:val="28"/>
        </w:rPr>
        <w:t xml:space="preserve"> thousands</w:t>
      </w:r>
      <w:r>
        <w:rPr>
          <w:kern w:val="28"/>
          <w:sz w:val="28"/>
          <w:szCs w:val="28"/>
        </w:rPr>
        <w:t xml:space="preserve"> respectively. 231.024</w:t>
      </w:r>
      <w:r>
        <w:rPr>
          <w:rFonts w:hint="eastAsia"/>
          <w:kern w:val="28"/>
          <w:sz w:val="28"/>
          <w:szCs w:val="28"/>
        </w:rPr>
        <w:t xml:space="preserve"> million</w:t>
      </w:r>
      <w:r>
        <w:rPr>
          <w:kern w:val="28"/>
          <w:sz w:val="28"/>
          <w:szCs w:val="28"/>
        </w:rPr>
        <w:t xml:space="preserve"> person-times of diagnosis and treatment were done by medical institutions</w:t>
      </w:r>
      <w:bookmarkStart w:id="25" w:name="OLE_LINK2"/>
      <w:r>
        <w:rPr>
          <w:kern w:val="28"/>
          <w:sz w:val="28"/>
          <w:szCs w:val="28"/>
        </w:rPr>
        <w:t>.</w:t>
      </w:r>
      <w:bookmarkEnd w:id="25"/>
    </w:p>
    <w:p>
      <w:pPr>
        <w:rPr>
          <w:color w:val="auto"/>
          <w:kern w:val="28"/>
          <w:sz w:val="28"/>
          <w:szCs w:val="28"/>
          <w:shd w:val="clear" w:color="auto" w:fill="auto"/>
        </w:rPr>
      </w:pPr>
      <w:r>
        <w:rPr>
          <w:b/>
          <w:kern w:val="28"/>
          <w:sz w:val="28"/>
          <w:szCs w:val="28"/>
        </w:rPr>
        <w:t>Sports:</w:t>
      </w:r>
      <w:r>
        <w:rPr>
          <w:kern w:val="28"/>
          <w:sz w:val="28"/>
          <w:szCs w:val="28"/>
        </w:rPr>
        <w:t xml:space="preserve"> In 2022, 53 medals were won in international competitions by Beijing athletes, </w:t>
      </w:r>
      <w:r>
        <w:rPr>
          <w:rFonts w:hint="eastAsia"/>
          <w:kern w:val="28"/>
          <w:sz w:val="28"/>
          <w:szCs w:val="28"/>
        </w:rPr>
        <w:t>including</w:t>
      </w:r>
      <w:r>
        <w:rPr>
          <w:kern w:val="28"/>
          <w:sz w:val="28"/>
          <w:szCs w:val="28"/>
        </w:rPr>
        <w:t xml:space="preserve"> 36 gold medals and 10 silver medal</w:t>
      </w:r>
      <w:r>
        <w:rPr>
          <w:color w:val="auto"/>
          <w:kern w:val="28"/>
          <w:sz w:val="28"/>
          <w:szCs w:val="28"/>
          <w:shd w:val="clear" w:color="auto" w:fill="auto"/>
        </w:rPr>
        <w:t>s;</w:t>
      </w:r>
      <w:r>
        <w:rPr>
          <w:kern w:val="28"/>
          <w:sz w:val="28"/>
          <w:szCs w:val="28"/>
        </w:rPr>
        <w:t xml:space="preserve"> 197 medals were won in national competitions, of </w:t>
      </w:r>
      <w:r>
        <w:rPr>
          <w:color w:val="auto"/>
          <w:kern w:val="28"/>
          <w:sz w:val="28"/>
          <w:szCs w:val="28"/>
          <w:shd w:val="clear" w:color="auto" w:fill="auto"/>
        </w:rPr>
        <w:t>which gold medals and silver medals amounted to 62 and 66 respectively. In the XXIV Olympic Winter Games Beijing 2022, a total of 34 athletes and 3 coaches from Beijing were selected for the Chinese sports delegation to compete in 5 sports, 7 disciplines and 17 events, and totally 2 gold medals and 1 silver medal were won. In 2022, 9 medals were won in international competitions by Beijing athletes with disabilities. In the XIII Paralympic Winter Games Beijing 2022, a total of 12 athletes with disabilities and 3 coaches from Beijing were selected for the Chinese sports delegation to compete in the 5 sports other than Paralympic ice hockey, and totally 5 gold medals, 2 silver medals and 2 bronze medals were won.</w:t>
      </w:r>
    </w:p>
    <w:p>
      <w:pPr>
        <w:outlineLvl w:val="0"/>
        <w:rPr>
          <w:b/>
          <w:color w:val="auto"/>
          <w:kern w:val="28"/>
          <w:sz w:val="28"/>
          <w:szCs w:val="28"/>
          <w:shd w:val="clear" w:color="auto" w:fill="auto"/>
        </w:rPr>
      </w:pPr>
      <w:r>
        <w:rPr>
          <w:b/>
          <w:color w:val="auto"/>
          <w:sz w:val="28"/>
          <w:szCs w:val="28"/>
          <w:shd w:val="clear" w:color="auto" w:fill="auto"/>
        </w:rPr>
        <w:t>XII</w:t>
      </w:r>
      <w:r>
        <w:rPr>
          <w:b/>
          <w:color w:val="auto"/>
          <w:kern w:val="28"/>
          <w:sz w:val="28"/>
          <w:szCs w:val="28"/>
          <w:shd w:val="clear" w:color="auto" w:fill="auto"/>
        </w:rPr>
        <w:t xml:space="preserve">. Resources and </w:t>
      </w:r>
      <w:r>
        <w:rPr>
          <w:rFonts w:hint="eastAsia"/>
          <w:b/>
          <w:color w:val="auto"/>
          <w:kern w:val="28"/>
          <w:sz w:val="28"/>
          <w:szCs w:val="28"/>
          <w:shd w:val="clear" w:color="auto" w:fill="auto"/>
        </w:rPr>
        <w:t xml:space="preserve">Urban </w:t>
      </w:r>
      <w:r>
        <w:rPr>
          <w:b/>
          <w:color w:val="auto"/>
          <w:kern w:val="28"/>
          <w:sz w:val="28"/>
          <w:szCs w:val="28"/>
          <w:shd w:val="clear" w:color="auto" w:fill="auto"/>
        </w:rPr>
        <w:t>Environment</w:t>
      </w:r>
    </w:p>
    <w:p>
      <w:pPr>
        <w:rPr>
          <w:color w:val="auto"/>
          <w:kern w:val="28"/>
          <w:sz w:val="28"/>
          <w:szCs w:val="28"/>
          <w:shd w:val="clear" w:color="auto" w:fill="auto"/>
        </w:rPr>
      </w:pPr>
      <w:r>
        <w:rPr>
          <w:b/>
          <w:color w:val="auto"/>
          <w:kern w:val="28"/>
          <w:sz w:val="28"/>
          <w:szCs w:val="28"/>
          <w:shd w:val="clear" w:color="auto" w:fill="auto"/>
        </w:rPr>
        <w:t xml:space="preserve">Land </w:t>
      </w:r>
      <w:r>
        <w:rPr>
          <w:rFonts w:hint="eastAsia"/>
          <w:b/>
          <w:color w:val="auto"/>
          <w:kern w:val="28"/>
          <w:sz w:val="28"/>
          <w:szCs w:val="28"/>
          <w:shd w:val="clear" w:color="auto" w:fill="auto"/>
        </w:rPr>
        <w:t>S</w:t>
      </w:r>
      <w:r>
        <w:rPr>
          <w:b/>
          <w:color w:val="auto"/>
          <w:kern w:val="28"/>
          <w:sz w:val="28"/>
          <w:szCs w:val="28"/>
          <w:shd w:val="clear" w:color="auto" w:fill="auto"/>
        </w:rPr>
        <w:t>upply:</w:t>
      </w:r>
      <w:r>
        <w:rPr>
          <w:color w:val="auto"/>
          <w:kern w:val="28"/>
          <w:sz w:val="28"/>
          <w:szCs w:val="28"/>
          <w:shd w:val="clear" w:color="auto" w:fill="auto"/>
        </w:rPr>
        <w:t xml:space="preserve"> Total supply of lands for construction use </w:t>
      </w:r>
      <w:r>
        <w:rPr>
          <w:rFonts w:hint="eastAsia"/>
          <w:color w:val="auto"/>
          <w:kern w:val="28"/>
          <w:sz w:val="28"/>
          <w:szCs w:val="28"/>
          <w:shd w:val="clear" w:color="auto" w:fill="auto"/>
        </w:rPr>
        <w:t xml:space="preserve">in Beijing </w:t>
      </w:r>
      <w:r>
        <w:rPr>
          <w:color w:val="auto"/>
          <w:kern w:val="28"/>
          <w:sz w:val="28"/>
          <w:szCs w:val="28"/>
          <w:shd w:val="clear" w:color="auto" w:fill="auto"/>
        </w:rPr>
        <w:t>in 20</w:t>
      </w:r>
      <w:r>
        <w:rPr>
          <w:rFonts w:hint="eastAsia"/>
          <w:color w:val="auto"/>
          <w:kern w:val="28"/>
          <w:sz w:val="28"/>
          <w:szCs w:val="28"/>
          <w:shd w:val="clear" w:color="auto" w:fill="auto"/>
        </w:rPr>
        <w:t>2</w:t>
      </w:r>
      <w:r>
        <w:rPr>
          <w:color w:val="auto"/>
          <w:kern w:val="28"/>
          <w:sz w:val="28"/>
          <w:szCs w:val="28"/>
          <w:shd w:val="clear" w:color="auto" w:fill="auto"/>
        </w:rPr>
        <w:t>2 was 3,251 hectares. Of which</w:t>
      </w:r>
      <w:r>
        <w:rPr>
          <w:rFonts w:hint="eastAsia"/>
          <w:color w:val="auto"/>
          <w:kern w:val="28"/>
          <w:sz w:val="28"/>
          <w:szCs w:val="28"/>
          <w:shd w:val="clear" w:color="auto" w:fill="auto"/>
        </w:rPr>
        <w:t>, the supply of construction lands for special use and for transport and water conservancy use</w:t>
      </w:r>
      <w:r>
        <w:rPr>
          <w:rStyle w:val="18"/>
          <w:color w:val="auto"/>
          <w:kern w:val="28"/>
          <w:sz w:val="28"/>
          <w:szCs w:val="28"/>
          <w:shd w:val="clear" w:color="auto" w:fill="auto"/>
        </w:rPr>
        <w:endnoteReference w:id="10" w:customMarkFollows="1"/>
        <w:t>[11]</w:t>
      </w:r>
      <w:r>
        <w:rPr>
          <w:rFonts w:hint="eastAsia"/>
          <w:color w:val="auto"/>
          <w:kern w:val="28"/>
          <w:sz w:val="28"/>
          <w:szCs w:val="28"/>
          <w:shd w:val="clear" w:color="auto" w:fill="auto"/>
        </w:rPr>
        <w:t xml:space="preserve"> was 1,</w:t>
      </w:r>
      <w:r>
        <w:rPr>
          <w:color w:val="auto"/>
          <w:kern w:val="28"/>
          <w:sz w:val="28"/>
          <w:szCs w:val="28"/>
          <w:shd w:val="clear" w:color="auto" w:fill="auto"/>
        </w:rPr>
        <w:t>007</w:t>
      </w:r>
      <w:r>
        <w:rPr>
          <w:rFonts w:hint="eastAsia"/>
          <w:color w:val="auto"/>
          <w:kern w:val="28"/>
          <w:sz w:val="28"/>
          <w:szCs w:val="28"/>
          <w:shd w:val="clear" w:color="auto" w:fill="auto"/>
        </w:rPr>
        <w:t xml:space="preserve"> hectares, the supply of lands for public administration and public services was </w:t>
      </w:r>
      <w:r>
        <w:rPr>
          <w:color w:val="auto"/>
          <w:kern w:val="28"/>
          <w:sz w:val="28"/>
          <w:szCs w:val="28"/>
          <w:shd w:val="clear" w:color="auto" w:fill="auto"/>
        </w:rPr>
        <w:t>717</w:t>
      </w:r>
      <w:r>
        <w:rPr>
          <w:rFonts w:hint="eastAsia"/>
          <w:color w:val="auto"/>
          <w:kern w:val="28"/>
          <w:sz w:val="28"/>
          <w:szCs w:val="28"/>
          <w:shd w:val="clear" w:color="auto" w:fill="auto"/>
        </w:rPr>
        <w:t xml:space="preserve"> hectares, the supply of residential lands was 1,</w:t>
      </w:r>
      <w:r>
        <w:rPr>
          <w:color w:val="auto"/>
          <w:kern w:val="28"/>
          <w:sz w:val="28"/>
          <w:szCs w:val="28"/>
          <w:shd w:val="clear" w:color="auto" w:fill="auto"/>
        </w:rPr>
        <w:t>169</w:t>
      </w:r>
      <w:r>
        <w:rPr>
          <w:rFonts w:hint="eastAsia"/>
          <w:color w:val="auto"/>
          <w:kern w:val="28"/>
          <w:sz w:val="28"/>
          <w:szCs w:val="28"/>
          <w:shd w:val="clear" w:color="auto" w:fill="auto"/>
        </w:rPr>
        <w:t xml:space="preserve"> hectares</w:t>
      </w:r>
      <w:r>
        <w:rPr>
          <w:color w:val="auto"/>
          <w:kern w:val="28"/>
          <w:sz w:val="28"/>
          <w:szCs w:val="28"/>
          <w:shd w:val="clear" w:color="auto" w:fill="auto"/>
        </w:rPr>
        <w:t xml:space="preserve">, </w:t>
      </w:r>
      <w:r>
        <w:rPr>
          <w:rFonts w:hint="eastAsia"/>
          <w:color w:val="auto"/>
          <w:kern w:val="28"/>
          <w:sz w:val="28"/>
          <w:szCs w:val="28"/>
          <w:shd w:val="clear" w:color="auto" w:fill="auto"/>
        </w:rPr>
        <w:t xml:space="preserve">and the supply of industrial </w:t>
      </w:r>
      <w:r>
        <w:rPr>
          <w:color w:val="auto"/>
          <w:kern w:val="28"/>
          <w:sz w:val="28"/>
          <w:szCs w:val="28"/>
          <w:shd w:val="clear" w:color="auto" w:fill="auto"/>
        </w:rPr>
        <w:t>land</w:t>
      </w:r>
      <w:r>
        <w:rPr>
          <w:rFonts w:hint="eastAsia"/>
          <w:color w:val="auto"/>
          <w:kern w:val="28"/>
          <w:sz w:val="28"/>
          <w:szCs w:val="28"/>
          <w:shd w:val="clear" w:color="auto" w:fill="auto"/>
        </w:rPr>
        <w:t xml:space="preserve">s was </w:t>
      </w:r>
      <w:r>
        <w:rPr>
          <w:color w:val="auto"/>
          <w:kern w:val="28"/>
          <w:sz w:val="28"/>
          <w:szCs w:val="28"/>
          <w:shd w:val="clear" w:color="auto" w:fill="auto"/>
        </w:rPr>
        <w:t>358</w:t>
      </w:r>
      <w:r>
        <w:rPr>
          <w:rFonts w:hint="eastAsia"/>
          <w:color w:val="auto"/>
          <w:kern w:val="28"/>
          <w:sz w:val="28"/>
          <w:szCs w:val="28"/>
          <w:shd w:val="clear" w:color="auto" w:fill="auto"/>
        </w:rPr>
        <w:t xml:space="preserve"> </w:t>
      </w:r>
      <w:r>
        <w:rPr>
          <w:color w:val="auto"/>
          <w:kern w:val="28"/>
          <w:sz w:val="28"/>
          <w:szCs w:val="28"/>
          <w:shd w:val="clear" w:color="auto" w:fill="auto"/>
        </w:rPr>
        <w:t>hectares.</w:t>
      </w:r>
    </w:p>
    <w:p>
      <w:pPr>
        <w:rPr>
          <w:color w:val="auto"/>
          <w:kern w:val="28"/>
          <w:sz w:val="28"/>
          <w:szCs w:val="28"/>
          <w:shd w:val="clear" w:color="auto" w:fill="auto"/>
        </w:rPr>
      </w:pPr>
      <w:r>
        <w:rPr>
          <w:b/>
          <w:color w:val="auto"/>
          <w:kern w:val="28"/>
          <w:sz w:val="28"/>
          <w:szCs w:val="28"/>
          <w:shd w:val="clear" w:color="auto" w:fill="auto"/>
        </w:rPr>
        <w:t xml:space="preserve">Water </w:t>
      </w:r>
      <w:r>
        <w:rPr>
          <w:rFonts w:hint="eastAsia"/>
          <w:b/>
          <w:color w:val="auto"/>
          <w:kern w:val="28"/>
          <w:sz w:val="28"/>
          <w:szCs w:val="28"/>
          <w:shd w:val="clear" w:color="auto" w:fill="auto"/>
        </w:rPr>
        <w:t>R</w:t>
      </w:r>
      <w:r>
        <w:rPr>
          <w:b/>
          <w:color w:val="auto"/>
          <w:kern w:val="28"/>
          <w:sz w:val="28"/>
          <w:szCs w:val="28"/>
          <w:shd w:val="clear" w:color="auto" w:fill="auto"/>
        </w:rPr>
        <w:t>esource:</w:t>
      </w:r>
      <w:r>
        <w:rPr>
          <w:color w:val="auto"/>
          <w:kern w:val="28"/>
          <w:sz w:val="28"/>
          <w:szCs w:val="28"/>
          <w:shd w:val="clear" w:color="auto" w:fill="auto"/>
        </w:rPr>
        <w:t xml:space="preserve"> In 20</w:t>
      </w:r>
      <w:r>
        <w:rPr>
          <w:rFonts w:hint="eastAsia"/>
          <w:color w:val="auto"/>
          <w:kern w:val="28"/>
          <w:sz w:val="28"/>
          <w:szCs w:val="28"/>
          <w:shd w:val="clear" w:color="auto" w:fill="auto"/>
        </w:rPr>
        <w:t>2</w:t>
      </w:r>
      <w:r>
        <w:rPr>
          <w:color w:val="auto"/>
          <w:kern w:val="28"/>
          <w:sz w:val="28"/>
          <w:szCs w:val="28"/>
          <w:shd w:val="clear" w:color="auto" w:fill="auto"/>
        </w:rPr>
        <w:t>2, total stock of water resources hit 2.567 billion cubic meters. By the end of 20</w:t>
      </w:r>
      <w:r>
        <w:rPr>
          <w:rFonts w:hint="eastAsia"/>
          <w:color w:val="auto"/>
          <w:kern w:val="28"/>
          <w:sz w:val="28"/>
          <w:szCs w:val="28"/>
          <w:shd w:val="clear" w:color="auto" w:fill="auto"/>
        </w:rPr>
        <w:t>2</w:t>
      </w:r>
      <w:r>
        <w:rPr>
          <w:color w:val="auto"/>
          <w:kern w:val="28"/>
          <w:sz w:val="28"/>
          <w:szCs w:val="28"/>
          <w:shd w:val="clear" w:color="auto" w:fill="auto"/>
        </w:rPr>
        <w:t>2, large and medium-sized reservoirs achieved a total stock of 3.814 billion cubic meters of water, 0.496 billion cubic meters less than that at the end of the previous year. By the end of 20</w:t>
      </w:r>
      <w:r>
        <w:rPr>
          <w:rFonts w:hint="eastAsia"/>
          <w:color w:val="auto"/>
          <w:kern w:val="28"/>
          <w:sz w:val="28"/>
          <w:szCs w:val="28"/>
          <w:shd w:val="clear" w:color="auto" w:fill="auto"/>
        </w:rPr>
        <w:t>2</w:t>
      </w:r>
      <w:r>
        <w:rPr>
          <w:color w:val="auto"/>
          <w:kern w:val="28"/>
          <w:sz w:val="28"/>
          <w:szCs w:val="28"/>
          <w:shd w:val="clear" w:color="auto" w:fill="auto"/>
        </w:rPr>
        <w:t>2, burial depth of groundwater of plain areas</w:t>
      </w:r>
      <w:r>
        <w:rPr>
          <w:rStyle w:val="18"/>
          <w:color w:val="auto"/>
          <w:kern w:val="28"/>
          <w:sz w:val="28"/>
          <w:szCs w:val="28"/>
          <w:shd w:val="clear" w:color="auto" w:fill="auto"/>
        </w:rPr>
        <w:endnoteReference w:id="11" w:customMarkFollows="1"/>
        <w:t>[12]</w:t>
      </w:r>
      <w:r>
        <w:rPr>
          <w:color w:val="auto"/>
          <w:kern w:val="28"/>
          <w:sz w:val="28"/>
          <w:szCs w:val="28"/>
          <w:shd w:val="clear" w:color="auto" w:fill="auto"/>
        </w:rPr>
        <w:t xml:space="preserve"> was 15.64 meters, up by 0.75 meters </w:t>
      </w:r>
      <w:r>
        <w:rPr>
          <w:rFonts w:hint="eastAsia"/>
          <w:color w:val="auto"/>
          <w:sz w:val="28"/>
          <w:szCs w:val="28"/>
          <w:shd w:val="clear" w:color="auto" w:fill="auto"/>
        </w:rPr>
        <w:t>over</w:t>
      </w:r>
      <w:r>
        <w:rPr>
          <w:color w:val="auto"/>
          <w:kern w:val="28"/>
          <w:sz w:val="28"/>
          <w:szCs w:val="28"/>
          <w:shd w:val="clear" w:color="auto" w:fill="auto"/>
        </w:rPr>
        <w:t xml:space="preserve"> the end of the previous year. Total water consumption for production and living purpose in 20</w:t>
      </w:r>
      <w:r>
        <w:rPr>
          <w:rFonts w:hint="eastAsia"/>
          <w:color w:val="auto"/>
          <w:kern w:val="28"/>
          <w:sz w:val="28"/>
          <w:szCs w:val="28"/>
          <w:shd w:val="clear" w:color="auto" w:fill="auto"/>
        </w:rPr>
        <w:t>2</w:t>
      </w:r>
      <w:r>
        <w:rPr>
          <w:color w:val="auto"/>
          <w:kern w:val="28"/>
          <w:sz w:val="28"/>
          <w:szCs w:val="28"/>
          <w:shd w:val="clear" w:color="auto" w:fill="auto"/>
        </w:rPr>
        <w:t>2 reached 2.456 billion cubic meters</w:t>
      </w:r>
      <w:r>
        <w:rPr>
          <w:rFonts w:hint="eastAsia"/>
          <w:color w:val="auto"/>
          <w:kern w:val="28"/>
          <w:sz w:val="28"/>
          <w:szCs w:val="28"/>
          <w:shd w:val="clear" w:color="auto" w:fill="auto"/>
        </w:rPr>
        <w:t>, de</w:t>
      </w:r>
      <w:r>
        <w:rPr>
          <w:color w:val="auto"/>
          <w:kern w:val="28"/>
          <w:sz w:val="28"/>
          <w:szCs w:val="28"/>
          <w:shd w:val="clear" w:color="auto" w:fill="auto"/>
        </w:rPr>
        <w:t xml:space="preserve">creasing by </w:t>
      </w:r>
      <w:r>
        <w:rPr>
          <w:rFonts w:hint="eastAsia"/>
          <w:color w:val="auto"/>
          <w:kern w:val="28"/>
          <w:sz w:val="28"/>
          <w:szCs w:val="28"/>
          <w:shd w:val="clear" w:color="auto" w:fill="auto"/>
        </w:rPr>
        <w:t>1.</w:t>
      </w:r>
      <w:r>
        <w:rPr>
          <w:color w:val="auto"/>
          <w:kern w:val="28"/>
          <w:sz w:val="28"/>
          <w:szCs w:val="28"/>
          <w:shd w:val="clear" w:color="auto" w:fill="auto"/>
        </w:rPr>
        <w:t>7%</w:t>
      </w:r>
      <w:r>
        <w:rPr>
          <w:rFonts w:hint="eastAsia"/>
          <w:color w:val="auto"/>
          <w:kern w:val="28"/>
          <w:sz w:val="28"/>
          <w:szCs w:val="28"/>
          <w:shd w:val="clear" w:color="auto" w:fill="auto"/>
        </w:rPr>
        <w:t>.</w:t>
      </w:r>
      <w:r>
        <w:rPr>
          <w:color w:val="auto"/>
          <w:kern w:val="28"/>
          <w:sz w:val="28"/>
          <w:szCs w:val="28"/>
          <w:shd w:val="clear" w:color="auto" w:fill="auto"/>
        </w:rPr>
        <w:t xml:space="preserve"> Of which, consumption for living purpose </w:t>
      </w:r>
      <w:r>
        <w:rPr>
          <w:rFonts w:hint="eastAsia"/>
          <w:color w:val="auto"/>
          <w:kern w:val="28"/>
          <w:sz w:val="28"/>
          <w:szCs w:val="28"/>
          <w:shd w:val="clear" w:color="auto" w:fill="auto"/>
        </w:rPr>
        <w:t xml:space="preserve">(including </w:t>
      </w:r>
      <w:r>
        <w:rPr>
          <w:color w:val="auto"/>
          <w:kern w:val="28"/>
          <w:sz w:val="28"/>
          <w:szCs w:val="28"/>
          <w:shd w:val="clear" w:color="auto" w:fill="auto"/>
        </w:rPr>
        <w:t xml:space="preserve">water for public services </w:t>
      </w:r>
      <w:r>
        <w:rPr>
          <w:rFonts w:hint="eastAsia"/>
          <w:color w:val="auto"/>
          <w:kern w:val="28"/>
          <w:sz w:val="28"/>
          <w:szCs w:val="28"/>
          <w:shd w:val="clear" w:color="auto" w:fill="auto"/>
        </w:rPr>
        <w:t xml:space="preserve">and </w:t>
      </w:r>
      <w:r>
        <w:rPr>
          <w:color w:val="auto"/>
          <w:kern w:val="28"/>
          <w:sz w:val="28"/>
          <w:szCs w:val="28"/>
          <w:shd w:val="clear" w:color="auto" w:fill="auto"/>
        </w:rPr>
        <w:t>for households use</w:t>
      </w:r>
      <w:r>
        <w:rPr>
          <w:rFonts w:hint="eastAsia"/>
          <w:color w:val="auto"/>
          <w:kern w:val="28"/>
          <w:sz w:val="28"/>
          <w:szCs w:val="28"/>
          <w:shd w:val="clear" w:color="auto" w:fill="auto"/>
        </w:rPr>
        <w:t xml:space="preserve">) </w:t>
      </w:r>
      <w:r>
        <w:rPr>
          <w:color w:val="auto"/>
          <w:kern w:val="28"/>
          <w:sz w:val="28"/>
          <w:szCs w:val="28"/>
          <w:shd w:val="clear" w:color="auto" w:fill="auto"/>
        </w:rPr>
        <w:t>stood at 1.62</w:t>
      </w:r>
      <w:r>
        <w:rPr>
          <w:rFonts w:hint="eastAsia"/>
          <w:color w:val="auto"/>
          <w:kern w:val="28"/>
          <w:sz w:val="28"/>
          <w:szCs w:val="28"/>
          <w:shd w:val="clear" w:color="auto" w:fill="auto"/>
        </w:rPr>
        <w:t>0</w:t>
      </w:r>
      <w:r>
        <w:rPr>
          <w:color w:val="auto"/>
          <w:kern w:val="28"/>
          <w:sz w:val="28"/>
          <w:szCs w:val="28"/>
          <w:shd w:val="clear" w:color="auto" w:fill="auto"/>
        </w:rPr>
        <w:t xml:space="preserve"> billion cubic meters with a drop of 0.2%, water consumption for industrial use amounted to 0</w:t>
      </w:r>
      <w:r>
        <w:rPr>
          <w:rFonts w:hint="eastAsia"/>
          <w:color w:val="auto"/>
          <w:kern w:val="28"/>
          <w:sz w:val="28"/>
          <w:szCs w:val="28"/>
          <w:shd w:val="clear" w:color="auto" w:fill="auto"/>
        </w:rPr>
        <w:t>.</w:t>
      </w:r>
      <w:r>
        <w:rPr>
          <w:color w:val="auto"/>
          <w:kern w:val="28"/>
          <w:sz w:val="28"/>
          <w:szCs w:val="28"/>
          <w:shd w:val="clear" w:color="auto" w:fill="auto"/>
        </w:rPr>
        <w:t xml:space="preserve">229 </w:t>
      </w:r>
      <w:r>
        <w:rPr>
          <w:rFonts w:hint="eastAsia"/>
          <w:color w:val="auto"/>
          <w:kern w:val="28"/>
          <w:sz w:val="28"/>
          <w:szCs w:val="28"/>
          <w:shd w:val="clear" w:color="auto" w:fill="auto"/>
        </w:rPr>
        <w:t>b</w:t>
      </w:r>
      <w:r>
        <w:rPr>
          <w:color w:val="auto"/>
          <w:kern w:val="28"/>
          <w:sz w:val="28"/>
          <w:szCs w:val="28"/>
          <w:shd w:val="clear" w:color="auto" w:fill="auto"/>
        </w:rPr>
        <w:t>illion cubic meters with a drop of 2.4% and that for agricultural use hit 0</w:t>
      </w:r>
      <w:r>
        <w:rPr>
          <w:rFonts w:hint="eastAsia"/>
          <w:color w:val="auto"/>
          <w:kern w:val="28"/>
          <w:sz w:val="28"/>
          <w:szCs w:val="28"/>
          <w:shd w:val="clear" w:color="auto" w:fill="auto"/>
        </w:rPr>
        <w:t>.</w:t>
      </w:r>
      <w:r>
        <w:rPr>
          <w:color w:val="auto"/>
          <w:kern w:val="28"/>
          <w:sz w:val="28"/>
          <w:szCs w:val="28"/>
          <w:shd w:val="clear" w:color="auto" w:fill="auto"/>
        </w:rPr>
        <w:t xml:space="preserve">261 </w:t>
      </w:r>
      <w:r>
        <w:rPr>
          <w:rFonts w:hint="eastAsia"/>
          <w:color w:val="auto"/>
          <w:kern w:val="28"/>
          <w:sz w:val="28"/>
          <w:szCs w:val="28"/>
          <w:shd w:val="clear" w:color="auto" w:fill="auto"/>
        </w:rPr>
        <w:t>b</w:t>
      </w:r>
      <w:r>
        <w:rPr>
          <w:color w:val="auto"/>
          <w:kern w:val="28"/>
          <w:sz w:val="28"/>
          <w:szCs w:val="28"/>
          <w:shd w:val="clear" w:color="auto" w:fill="auto"/>
        </w:rPr>
        <w:t>illion cubic meters with a drop of 7.4%.</w:t>
      </w:r>
    </w:p>
    <w:p>
      <w:pPr>
        <w:rPr>
          <w:kern w:val="28"/>
          <w:sz w:val="28"/>
          <w:szCs w:val="28"/>
        </w:rPr>
      </w:pPr>
      <w:r>
        <w:rPr>
          <w:rFonts w:hint="eastAsia"/>
          <w:b/>
          <w:color w:val="auto"/>
          <w:kern w:val="28"/>
          <w:sz w:val="28"/>
          <w:szCs w:val="28"/>
          <w:shd w:val="clear" w:color="auto" w:fill="auto"/>
        </w:rPr>
        <w:t>Urban E</w:t>
      </w:r>
      <w:r>
        <w:rPr>
          <w:b/>
          <w:color w:val="auto"/>
          <w:kern w:val="28"/>
          <w:sz w:val="28"/>
          <w:szCs w:val="28"/>
          <w:shd w:val="clear" w:color="auto" w:fill="auto"/>
        </w:rPr>
        <w:t>nvironment:</w:t>
      </w:r>
      <w:r>
        <w:rPr>
          <w:color w:val="auto"/>
          <w:kern w:val="28"/>
          <w:sz w:val="28"/>
          <w:szCs w:val="28"/>
          <w:shd w:val="clear" w:color="auto" w:fill="auto"/>
        </w:rPr>
        <w:t xml:space="preserve"> In 2022, the disposal rate of urban waste water stood at 97</w:t>
      </w:r>
      <w:r>
        <w:rPr>
          <w:rFonts w:hint="eastAsia"/>
          <w:color w:val="auto"/>
          <w:kern w:val="28"/>
          <w:sz w:val="28"/>
          <w:szCs w:val="28"/>
          <w:shd w:val="clear" w:color="auto" w:fill="auto"/>
        </w:rPr>
        <w:t>.0</w:t>
      </w:r>
      <w:r>
        <w:rPr>
          <w:color w:val="auto"/>
          <w:kern w:val="28"/>
          <w:sz w:val="28"/>
          <w:szCs w:val="28"/>
          <w:shd w:val="clear" w:color="auto" w:fill="auto"/>
        </w:rPr>
        <w:t>% and that in six districts (Dongcheng District, Xicheng District, Chaoyang District, Haidian District, Fengtai District and Shijingshan District) reached 99.7%, showing an increase of 1.2 percentage points and 0.2 percentage point</w:t>
      </w:r>
      <w:r>
        <w:rPr>
          <w:rFonts w:hint="eastAsia"/>
          <w:color w:val="auto"/>
          <w:kern w:val="28"/>
          <w:sz w:val="28"/>
          <w:szCs w:val="28"/>
          <w:shd w:val="clear" w:color="auto" w:fill="auto"/>
        </w:rPr>
        <w:t>s</w:t>
      </w:r>
      <w:r>
        <w:rPr>
          <w:color w:val="auto"/>
          <w:kern w:val="28"/>
          <w:sz w:val="28"/>
          <w:szCs w:val="28"/>
          <w:shd w:val="clear" w:color="auto" w:fill="auto"/>
        </w:rPr>
        <w:t xml:space="preserve"> respectively over the previous year. A total of 7.4057 million tons of household garbage in Beijing were removed, transported and disposed, an average of 20.3 thousands tons per day. Of which, the other garbage totaled 5.6556 million tons, an average of 15.5 thousands tons per day; </w:t>
      </w:r>
      <w:r>
        <w:rPr>
          <w:kern w:val="28"/>
          <w:sz w:val="28"/>
          <w:szCs w:val="28"/>
        </w:rPr>
        <w:t>and the kitchen garbage totaled 1.7501 million tons, an average of 4.8 thousands tons per day. There was a total of 32 centralized disposal facilities for household garbage in Beijing, with actual disposal capacity of 25,111 tons per day. Average annual concentration of fine particles (PM</w:t>
      </w:r>
      <w:r>
        <w:rPr>
          <w:kern w:val="28"/>
          <w:sz w:val="28"/>
          <w:szCs w:val="28"/>
          <w:vertAlign w:val="subscript"/>
        </w:rPr>
        <w:t>2.5</w:t>
      </w:r>
      <w:r>
        <w:rPr>
          <w:kern w:val="28"/>
          <w:sz w:val="28"/>
          <w:szCs w:val="28"/>
        </w:rPr>
        <w:t>), inspiratory particulate matter (PM</w:t>
      </w:r>
      <w:r>
        <w:rPr>
          <w:kern w:val="28"/>
          <w:sz w:val="28"/>
          <w:szCs w:val="28"/>
          <w:vertAlign w:val="subscript"/>
        </w:rPr>
        <w:t>10</w:t>
      </w:r>
      <w:r>
        <w:rPr>
          <w:kern w:val="28"/>
          <w:sz w:val="28"/>
          <w:szCs w:val="28"/>
        </w:rPr>
        <w:t>) and nitrogen dioxide (NO</w:t>
      </w:r>
      <w:r>
        <w:rPr>
          <w:kern w:val="28"/>
          <w:sz w:val="28"/>
          <w:szCs w:val="28"/>
          <w:vertAlign w:val="subscript"/>
        </w:rPr>
        <w:t>2</w:t>
      </w:r>
      <w:r>
        <w:rPr>
          <w:kern w:val="28"/>
          <w:sz w:val="28"/>
          <w:szCs w:val="28"/>
        </w:rPr>
        <w:t>) was 30 μg/m</w:t>
      </w:r>
      <w:r>
        <w:rPr>
          <w:kern w:val="28"/>
          <w:sz w:val="28"/>
          <w:szCs w:val="28"/>
          <w:vertAlign w:val="superscript"/>
        </w:rPr>
        <w:t>3</w:t>
      </w:r>
      <w:r>
        <w:rPr>
          <w:kern w:val="28"/>
          <w:sz w:val="28"/>
          <w:szCs w:val="28"/>
        </w:rPr>
        <w:t>, 54 μg/m</w:t>
      </w:r>
      <w:r>
        <w:rPr>
          <w:kern w:val="28"/>
          <w:sz w:val="28"/>
          <w:szCs w:val="28"/>
          <w:vertAlign w:val="superscript"/>
        </w:rPr>
        <w:t>3</w:t>
      </w:r>
      <w:r>
        <w:rPr>
          <w:kern w:val="28"/>
          <w:sz w:val="28"/>
          <w:szCs w:val="28"/>
        </w:rPr>
        <w:t xml:space="preserve"> and 23 μg/m</w:t>
      </w:r>
      <w:r>
        <w:rPr>
          <w:kern w:val="28"/>
          <w:sz w:val="28"/>
          <w:szCs w:val="28"/>
          <w:vertAlign w:val="superscript"/>
        </w:rPr>
        <w:t>3</w:t>
      </w:r>
      <w:r>
        <w:rPr>
          <w:kern w:val="28"/>
          <w:sz w:val="28"/>
          <w:szCs w:val="28"/>
        </w:rPr>
        <w:t>, down by 9.1%, 1.8% and 11.5% respectively. Annual average concentration of sulfur dioxide</w:t>
      </w:r>
      <w:r>
        <w:rPr>
          <w:rFonts w:hint="eastAsia"/>
          <w:kern w:val="28"/>
          <w:sz w:val="28"/>
          <w:szCs w:val="28"/>
        </w:rPr>
        <w:t xml:space="preserve"> </w:t>
      </w:r>
      <w:r>
        <w:rPr>
          <w:kern w:val="28"/>
          <w:sz w:val="28"/>
          <w:szCs w:val="28"/>
        </w:rPr>
        <w:t>(SO</w:t>
      </w:r>
      <w:r>
        <w:rPr>
          <w:kern w:val="28"/>
          <w:sz w:val="28"/>
          <w:szCs w:val="28"/>
          <w:vertAlign w:val="subscript"/>
        </w:rPr>
        <w:t>2</w:t>
      </w:r>
      <w:r>
        <w:rPr>
          <w:kern w:val="28"/>
          <w:sz w:val="28"/>
          <w:szCs w:val="28"/>
        </w:rPr>
        <w:t>) was 3 μg/m</w:t>
      </w:r>
      <w:r>
        <w:rPr>
          <w:kern w:val="28"/>
          <w:sz w:val="28"/>
          <w:szCs w:val="28"/>
          <w:vertAlign w:val="superscript"/>
        </w:rPr>
        <w:t>3</w:t>
      </w:r>
      <w:r>
        <w:rPr>
          <w:kern w:val="28"/>
          <w:sz w:val="28"/>
          <w:szCs w:val="28"/>
        </w:rPr>
        <w:t xml:space="preserve">, remaining the same as that in the previous year. </w:t>
      </w:r>
    </w:p>
    <w:p>
      <w:pPr>
        <w:jc w:val="center"/>
        <w:rPr>
          <w:kern w:val="28"/>
          <w:sz w:val="28"/>
          <w:szCs w:val="28"/>
        </w:rPr>
      </w:pPr>
      <w:r>
        <w:rPr>
          <w:b/>
          <w:sz w:val="24"/>
        </w:rPr>
        <w:t xml:space="preserve">Figure </w:t>
      </w:r>
      <w:r>
        <w:rPr>
          <w:rFonts w:hint="eastAsia"/>
          <w:b/>
          <w:sz w:val="24"/>
        </w:rPr>
        <w:t>9</w:t>
      </w:r>
      <w:r>
        <w:rPr>
          <w:b/>
          <w:sz w:val="24"/>
        </w:rPr>
        <w:t xml:space="preserve">: Average </w:t>
      </w:r>
      <w:r>
        <w:rPr>
          <w:rFonts w:hint="eastAsia"/>
          <w:b/>
          <w:sz w:val="24"/>
        </w:rPr>
        <w:t>A</w:t>
      </w:r>
      <w:r>
        <w:rPr>
          <w:b/>
          <w:sz w:val="24"/>
        </w:rPr>
        <w:t xml:space="preserve">nnual </w:t>
      </w:r>
      <w:r>
        <w:rPr>
          <w:rFonts w:hint="eastAsia"/>
          <w:b/>
          <w:sz w:val="24"/>
        </w:rPr>
        <w:t>C</w:t>
      </w:r>
      <w:r>
        <w:rPr>
          <w:b/>
          <w:sz w:val="24"/>
        </w:rPr>
        <w:t xml:space="preserve">oncentration of </w:t>
      </w:r>
      <w:r>
        <w:rPr>
          <w:rFonts w:hint="eastAsia"/>
          <w:b/>
          <w:sz w:val="24"/>
        </w:rPr>
        <w:t>F</w:t>
      </w:r>
      <w:r>
        <w:rPr>
          <w:b/>
          <w:sz w:val="24"/>
        </w:rPr>
        <w:t xml:space="preserve">ine </w:t>
      </w:r>
      <w:r>
        <w:rPr>
          <w:rFonts w:hint="eastAsia"/>
          <w:b/>
          <w:sz w:val="24"/>
        </w:rPr>
        <w:t>P</w:t>
      </w:r>
      <w:r>
        <w:rPr>
          <w:b/>
          <w:sz w:val="24"/>
        </w:rPr>
        <w:t>articles (PM</w:t>
      </w:r>
      <w:r>
        <w:rPr>
          <w:b/>
          <w:sz w:val="24"/>
          <w:vertAlign w:val="subscript"/>
        </w:rPr>
        <w:t>2.5</w:t>
      </w:r>
      <w:r>
        <w:rPr>
          <w:b/>
          <w:sz w:val="24"/>
        </w:rPr>
        <w:t>)</w:t>
      </w:r>
      <w:r>
        <w:rPr>
          <w:rFonts w:hint="eastAsia"/>
          <w:b/>
          <w:sz w:val="24"/>
        </w:rPr>
        <w:t xml:space="preserve"> from 201</w:t>
      </w:r>
      <w:r>
        <w:rPr>
          <w:b/>
          <w:sz w:val="24"/>
        </w:rPr>
        <w:t>8</w:t>
      </w:r>
      <w:r>
        <w:rPr>
          <w:rFonts w:hint="eastAsia"/>
          <w:b/>
          <w:sz w:val="24"/>
        </w:rPr>
        <w:t xml:space="preserve"> to 202</w:t>
      </w:r>
      <w:r>
        <w:rPr>
          <w:b/>
          <w:sz w:val="24"/>
        </w:rPr>
        <w:t>2</w:t>
      </w:r>
    </w:p>
    <w:p>
      <w:pPr>
        <w:jc w:val="center"/>
        <w:rPr>
          <w:rFonts w:ascii="仿宋_GB2312" w:eastAsia="仿宋_GB2312"/>
          <w:sz w:val="32"/>
          <w:szCs w:val="32"/>
        </w:rPr>
      </w:pPr>
      <w:r>
        <w:drawing>
          <wp:inline distT="0" distB="0" distL="0" distR="0">
            <wp:extent cx="5022215" cy="2576195"/>
            <wp:effectExtent l="0" t="0" r="6985" b="0"/>
            <wp:docPr id="81" name="图表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rPr>
          <w:color w:val="auto"/>
          <w:kern w:val="28"/>
          <w:sz w:val="28"/>
          <w:szCs w:val="28"/>
          <w:shd w:val="clear" w:color="auto" w:fill="auto"/>
        </w:rPr>
      </w:pPr>
      <w:bookmarkStart w:id="26" w:name="_Toc379894719"/>
      <w:r>
        <w:rPr>
          <w:rFonts w:hint="eastAsia"/>
          <w:kern w:val="28"/>
          <w:sz w:val="28"/>
          <w:szCs w:val="28"/>
        </w:rPr>
        <w:t>A</w:t>
      </w:r>
      <w:r>
        <w:rPr>
          <w:sz w:val="28"/>
          <w:szCs w:val="28"/>
        </w:rPr>
        <w:t xml:space="preserve"> total of 10,200 hectares of afforestation were increased in 2022.</w:t>
      </w:r>
      <w:r>
        <w:rPr>
          <w:rFonts w:hint="eastAsia"/>
          <w:sz w:val="28"/>
          <w:szCs w:val="28"/>
        </w:rPr>
        <w:t xml:space="preserve"> </w:t>
      </w:r>
      <w:r>
        <w:rPr>
          <w:kern w:val="28"/>
          <w:sz w:val="28"/>
          <w:szCs w:val="28"/>
        </w:rPr>
        <w:t xml:space="preserve">Forest coverage rate was </w:t>
      </w:r>
      <w:r>
        <w:rPr>
          <w:rFonts w:hint="eastAsia"/>
          <w:kern w:val="28"/>
          <w:sz w:val="28"/>
          <w:szCs w:val="28"/>
        </w:rPr>
        <w:t>4</w:t>
      </w:r>
      <w:r>
        <w:rPr>
          <w:kern w:val="28"/>
          <w:sz w:val="28"/>
          <w:szCs w:val="28"/>
        </w:rPr>
        <w:t xml:space="preserve">4.8%, up by 0.2 percentage points over the previous year. The green coverage ratio in </w:t>
      </w:r>
      <w:r>
        <w:rPr>
          <w:sz w:val="28"/>
          <w:szCs w:val="28"/>
        </w:rPr>
        <w:t>urban regions</w:t>
      </w:r>
      <w:r>
        <w:rPr>
          <w:rFonts w:hint="eastAsia"/>
          <w:sz w:val="28"/>
          <w:szCs w:val="28"/>
        </w:rPr>
        <w:t xml:space="preserve"> </w:t>
      </w:r>
      <w:r>
        <w:rPr>
          <w:kern w:val="28"/>
          <w:sz w:val="28"/>
          <w:szCs w:val="28"/>
        </w:rPr>
        <w:t xml:space="preserve">of Beijing stood at 49.3%, up by </w:t>
      </w:r>
      <w:bookmarkStart w:id="27" w:name="OLE_LINK52"/>
      <w:bookmarkStart w:id="28" w:name="OLE_LINK51"/>
      <w:r>
        <w:rPr>
          <w:kern w:val="28"/>
          <w:sz w:val="28"/>
          <w:szCs w:val="28"/>
        </w:rPr>
        <w:t xml:space="preserve">0.01 percentage </w:t>
      </w:r>
      <w:r>
        <w:rPr>
          <w:color w:val="auto"/>
          <w:kern w:val="28"/>
          <w:sz w:val="28"/>
          <w:szCs w:val="28"/>
          <w:shd w:val="clear" w:color="auto" w:fill="auto"/>
        </w:rPr>
        <w:t>point</w:t>
      </w:r>
      <w:r>
        <w:rPr>
          <w:rFonts w:hint="eastAsia"/>
          <w:color w:val="auto"/>
          <w:kern w:val="28"/>
          <w:sz w:val="28"/>
          <w:szCs w:val="28"/>
          <w:shd w:val="clear" w:color="auto" w:fill="auto"/>
          <w:lang w:eastAsia="zh-Hans"/>
        </w:rPr>
        <w:t>s</w:t>
      </w:r>
      <w:r>
        <w:rPr>
          <w:color w:val="auto"/>
          <w:kern w:val="28"/>
          <w:sz w:val="28"/>
          <w:szCs w:val="28"/>
          <w:shd w:val="clear" w:color="auto" w:fill="auto"/>
        </w:rPr>
        <w:t>.</w:t>
      </w:r>
      <w:bookmarkEnd w:id="27"/>
      <w:bookmarkEnd w:id="28"/>
      <w:r>
        <w:rPr>
          <w:color w:val="auto"/>
          <w:kern w:val="28"/>
          <w:sz w:val="28"/>
          <w:szCs w:val="28"/>
          <w:shd w:val="clear" w:color="auto" w:fill="auto"/>
        </w:rPr>
        <w:t xml:space="preserve"> Per-capita green area in public parks </w:t>
      </w:r>
      <w:r>
        <w:rPr>
          <w:rFonts w:hint="eastAsia"/>
          <w:color w:val="auto"/>
          <w:kern w:val="28"/>
          <w:sz w:val="28"/>
          <w:szCs w:val="28"/>
          <w:shd w:val="clear" w:color="auto" w:fill="auto"/>
        </w:rPr>
        <w:t xml:space="preserve">in Beijing </w:t>
      </w:r>
      <w:r>
        <w:rPr>
          <w:color w:val="auto"/>
          <w:kern w:val="28"/>
          <w:sz w:val="28"/>
          <w:szCs w:val="28"/>
          <w:shd w:val="clear" w:color="auto" w:fill="auto"/>
        </w:rPr>
        <w:t>was 16.89 m</w:t>
      </w:r>
      <w:r>
        <w:rPr>
          <w:color w:val="auto"/>
          <w:kern w:val="28"/>
          <w:sz w:val="28"/>
          <w:szCs w:val="28"/>
          <w:shd w:val="clear" w:color="auto" w:fill="auto"/>
          <w:vertAlign w:val="superscript"/>
        </w:rPr>
        <w:t>2</w:t>
      </w:r>
      <w:r>
        <w:rPr>
          <w:rFonts w:hint="eastAsia"/>
          <w:color w:val="auto"/>
          <w:kern w:val="28"/>
          <w:sz w:val="28"/>
          <w:szCs w:val="28"/>
          <w:shd w:val="clear" w:color="auto" w:fill="auto"/>
        </w:rPr>
        <w:t>, up by 0.</w:t>
      </w:r>
      <w:r>
        <w:rPr>
          <w:color w:val="auto"/>
          <w:kern w:val="28"/>
          <w:sz w:val="28"/>
          <w:szCs w:val="28"/>
          <w:shd w:val="clear" w:color="auto" w:fill="auto"/>
        </w:rPr>
        <w:t>27 m</w:t>
      </w:r>
      <w:r>
        <w:rPr>
          <w:color w:val="auto"/>
          <w:kern w:val="28"/>
          <w:sz w:val="28"/>
          <w:szCs w:val="28"/>
          <w:shd w:val="clear" w:color="auto" w:fill="auto"/>
          <w:vertAlign w:val="superscript"/>
        </w:rPr>
        <w:t>2</w:t>
      </w:r>
      <w:r>
        <w:rPr>
          <w:rFonts w:hint="eastAsia"/>
          <w:color w:val="auto"/>
          <w:kern w:val="28"/>
          <w:sz w:val="28"/>
          <w:szCs w:val="28"/>
          <w:shd w:val="clear" w:color="auto" w:fill="auto"/>
        </w:rPr>
        <w:t>.</w:t>
      </w:r>
      <w:r>
        <w:rPr>
          <w:color w:val="auto"/>
          <w:kern w:val="28"/>
          <w:sz w:val="28"/>
          <w:szCs w:val="28"/>
          <w:shd w:val="clear" w:color="auto" w:fill="auto"/>
        </w:rPr>
        <w:t xml:space="preserve"> </w:t>
      </w:r>
    </w:p>
    <w:p>
      <w:pPr>
        <w:rPr>
          <w:rFonts w:eastAsia="黑体"/>
          <w:b/>
          <w:color w:val="auto"/>
          <w:sz w:val="28"/>
          <w:szCs w:val="28"/>
          <w:shd w:val="clear" w:color="auto" w:fill="auto"/>
        </w:rPr>
      </w:pPr>
      <w:r>
        <w:rPr>
          <w:b/>
          <w:color w:val="auto"/>
          <w:sz w:val="28"/>
          <w:szCs w:val="28"/>
          <w:shd w:val="clear" w:color="auto" w:fill="auto"/>
        </w:rPr>
        <w:t>XIII.</w:t>
      </w:r>
      <w:r>
        <w:rPr>
          <w:rFonts w:eastAsia="黑体"/>
          <w:b/>
          <w:color w:val="auto"/>
          <w:sz w:val="32"/>
          <w:szCs w:val="32"/>
          <w:shd w:val="clear" w:color="auto" w:fill="auto"/>
        </w:rPr>
        <w:t xml:space="preserve"> Effects of High-quality Development</w:t>
      </w:r>
    </w:p>
    <w:p>
      <w:pPr>
        <w:rPr>
          <w:color w:val="auto"/>
          <w:sz w:val="28"/>
          <w:szCs w:val="28"/>
          <w:shd w:val="clear" w:color="auto" w:fill="auto"/>
        </w:rPr>
      </w:pPr>
      <w:r>
        <w:rPr>
          <w:rFonts w:hint="eastAsia"/>
          <w:b/>
          <w:color w:val="auto"/>
          <w:sz w:val="28"/>
          <w:szCs w:val="28"/>
          <w:shd w:val="clear" w:color="auto" w:fill="auto"/>
        </w:rPr>
        <w:t>C</w:t>
      </w:r>
      <w:r>
        <w:rPr>
          <w:b/>
          <w:color w:val="auto"/>
          <w:sz w:val="28"/>
          <w:szCs w:val="28"/>
          <w:shd w:val="clear" w:color="auto" w:fill="auto"/>
        </w:rPr>
        <w:t>onversion of Kinetic Energy:</w:t>
      </w:r>
      <w:r>
        <w:rPr>
          <w:color w:val="auto"/>
          <w:sz w:val="28"/>
          <w:szCs w:val="28"/>
          <w:shd w:val="clear" w:color="auto" w:fill="auto"/>
        </w:rPr>
        <w:t xml:space="preserve"> The </w:t>
      </w:r>
      <w:r>
        <w:rPr>
          <w:rFonts w:eastAsia="仿宋_GB2312"/>
          <w:color w:val="auto"/>
          <w:sz w:val="28"/>
          <w:szCs w:val="28"/>
          <w:shd w:val="clear" w:color="auto" w:fill="auto"/>
        </w:rPr>
        <w:t>added value</w:t>
      </w:r>
      <w:r>
        <w:rPr>
          <w:color w:val="auto"/>
          <w:sz w:val="28"/>
          <w:szCs w:val="28"/>
          <w:shd w:val="clear" w:color="auto" w:fill="auto"/>
        </w:rPr>
        <w:t xml:space="preserve"> of digital economy reached RMB 1,733.02 billion, up by 4.4% over the previous year at current price, which accounted for 41.6% of the GDP of Beijing, up by 1.2 percentage point</w:t>
      </w:r>
      <w:r>
        <w:rPr>
          <w:rFonts w:hint="eastAsia"/>
          <w:color w:val="auto"/>
          <w:sz w:val="28"/>
          <w:szCs w:val="28"/>
          <w:shd w:val="clear" w:color="auto" w:fill="auto"/>
        </w:rPr>
        <w:t>s</w:t>
      </w:r>
      <w:r>
        <w:rPr>
          <w:color w:val="auto"/>
          <w:sz w:val="28"/>
          <w:szCs w:val="28"/>
          <w:shd w:val="clear" w:color="auto" w:fill="auto"/>
        </w:rPr>
        <w:t xml:space="preserve"> over the previous year. Of which, the added value of core industries of digital economy stood at RMB 995.83 billion, up by 7.5%, which accounted for 23.9% of the GDP, up by 1.3 percentage points.</w:t>
      </w:r>
      <w:r>
        <w:rPr>
          <w:rFonts w:hint="eastAsia"/>
          <w:color w:val="auto"/>
          <w:sz w:val="28"/>
          <w:szCs w:val="28"/>
          <w:shd w:val="clear" w:color="auto" w:fill="auto"/>
        </w:rPr>
        <w:t xml:space="preserve"> </w:t>
      </w:r>
      <w:r>
        <w:rPr>
          <w:color w:val="auto"/>
          <w:sz w:val="28"/>
          <w:szCs w:val="28"/>
          <w:shd w:val="clear" w:color="auto" w:fill="auto"/>
        </w:rPr>
        <w:t xml:space="preserve">Layout in cloud computing and artificial intelligence was accelerated, investment in fixed assets in new infrastructure projects in 2022 increased by 25.5%. </w:t>
      </w:r>
      <w:bookmarkStart w:id="29" w:name="_Hlk129159852"/>
      <w:r>
        <w:rPr>
          <w:color w:val="auto"/>
          <w:sz w:val="28"/>
          <w:szCs w:val="28"/>
          <w:shd w:val="clear" w:color="auto" w:fill="auto"/>
          <w:lang w:val="en"/>
        </w:rPr>
        <w:t>T</w:t>
      </w:r>
      <w:r>
        <w:rPr>
          <w:color w:val="auto"/>
          <w:sz w:val="28"/>
          <w:szCs w:val="28"/>
          <w:shd w:val="clear" w:color="auto" w:fill="auto"/>
        </w:rPr>
        <w:t>he wholesale and retail trade and the accommodation and restaurants</w:t>
      </w:r>
      <w:r>
        <w:rPr>
          <w:rFonts w:hint="default"/>
          <w:color w:val="auto"/>
          <w:sz w:val="28"/>
          <w:szCs w:val="28"/>
          <w:shd w:val="clear" w:color="auto" w:fill="auto"/>
          <w:vertAlign w:val="superscript"/>
          <w:lang w:val="en"/>
        </w:rPr>
        <w:t>[13]</w:t>
      </w:r>
      <w:r>
        <w:rPr>
          <w:color w:val="auto"/>
          <w:sz w:val="28"/>
          <w:szCs w:val="28"/>
          <w:shd w:val="clear" w:color="auto" w:fill="auto"/>
        </w:rPr>
        <w:t xml:space="preserve"> above designated size achieved online retail sales of RMB 548.56 billion, up by 0.4%. Key areas accelerated opening up, total imports and exports of Beijing from and to the Belt and Road countries in 20</w:t>
      </w:r>
      <w:r>
        <w:rPr>
          <w:rFonts w:hint="eastAsia"/>
          <w:color w:val="auto"/>
          <w:sz w:val="28"/>
          <w:szCs w:val="28"/>
          <w:shd w:val="clear" w:color="auto" w:fill="auto"/>
        </w:rPr>
        <w:t>2</w:t>
      </w:r>
      <w:r>
        <w:rPr>
          <w:color w:val="auto"/>
          <w:sz w:val="28"/>
          <w:szCs w:val="28"/>
          <w:shd w:val="clear" w:color="auto" w:fill="auto"/>
        </w:rPr>
        <w:t>2 amounted to RMB 1.59 trillion, up by 28.2</w:t>
      </w:r>
      <w:r>
        <w:rPr>
          <w:rFonts w:hint="eastAsia"/>
          <w:color w:val="auto"/>
          <w:sz w:val="28"/>
          <w:szCs w:val="28"/>
          <w:shd w:val="clear" w:color="auto" w:fill="auto"/>
        </w:rPr>
        <w:t>%,</w:t>
      </w:r>
      <w:r>
        <w:rPr>
          <w:color w:val="auto"/>
          <w:sz w:val="28"/>
          <w:szCs w:val="28"/>
          <w:shd w:val="clear" w:color="auto" w:fill="auto"/>
        </w:rPr>
        <w:t xml:space="preserve"> and accounting for 43.7% of the total imports and imports of Beijing. In the public services industry, the opening up in key areas were expanded, the foreign investment in actual use totaled USD 15.86 billion, up by 20.6%; specifically, the proportion of the foreign investment in actual use in areas such as science and technology, Internet information, business tourism services were over 90%. From January to November, research and development expenses of large and medium-sized key enterprises in Beijing increased by 10.0% year on year; technological revenue of high and new technology enterprises above designated size in Zhongguancun Demonstration Zone accounted for 21.7% of the total revenue, up by 2.1 percentage points year on year.</w:t>
      </w:r>
      <w:bookmarkEnd w:id="29"/>
      <w:r>
        <w:rPr>
          <w:color w:val="auto"/>
          <w:sz w:val="28"/>
          <w:szCs w:val="28"/>
          <w:shd w:val="clear" w:color="auto" w:fill="auto"/>
        </w:rPr>
        <w:t xml:space="preserve"> </w:t>
      </w:r>
    </w:p>
    <w:p>
      <w:pPr>
        <w:rPr>
          <w:color w:val="auto"/>
          <w:sz w:val="28"/>
          <w:szCs w:val="28"/>
          <w:shd w:val="clear" w:color="auto" w:fill="auto"/>
        </w:rPr>
      </w:pPr>
      <w:r>
        <w:rPr>
          <w:b/>
          <w:color w:val="auto"/>
          <w:sz w:val="28"/>
          <w:szCs w:val="28"/>
          <w:shd w:val="clear" w:color="auto" w:fill="auto"/>
        </w:rPr>
        <w:t xml:space="preserve">Optimization of </w:t>
      </w:r>
      <w:r>
        <w:rPr>
          <w:rFonts w:hint="eastAsia"/>
          <w:b/>
          <w:color w:val="auto"/>
          <w:sz w:val="28"/>
          <w:szCs w:val="28"/>
          <w:shd w:val="clear" w:color="auto" w:fill="auto"/>
        </w:rPr>
        <w:t>Structure</w:t>
      </w:r>
      <w:r>
        <w:rPr>
          <w:b/>
          <w:color w:val="auto"/>
          <w:sz w:val="28"/>
          <w:szCs w:val="28"/>
          <w:shd w:val="clear" w:color="auto" w:fill="auto"/>
        </w:rPr>
        <w:t>:</w:t>
      </w:r>
      <w:r>
        <w:rPr>
          <w:color w:val="auto"/>
          <w:sz w:val="28"/>
          <w:szCs w:val="28"/>
          <w:shd w:val="clear" w:color="auto" w:fill="auto"/>
        </w:rPr>
        <w:t xml:space="preserve"> The added value of the public services industry in 2022 accounted for over 80% of the GDP of Beijing. Specifically, the added value of the sector of information transmission, software and information technology services, the finance sector and the sector of scientific research and development, technical services grew by 9.8%, 6.4% and 1.8% respectively, together accounting for 45.9% of the GDP, increasing by </w:t>
      </w:r>
      <w:r>
        <w:rPr>
          <w:rFonts w:hint="eastAsia"/>
          <w:color w:val="auto"/>
          <w:sz w:val="28"/>
          <w:szCs w:val="28"/>
          <w:shd w:val="clear" w:color="auto" w:fill="auto"/>
        </w:rPr>
        <w:t>2.5</w:t>
      </w:r>
      <w:r>
        <w:rPr>
          <w:color w:val="auto"/>
          <w:sz w:val="28"/>
          <w:szCs w:val="28"/>
          <w:shd w:val="clear" w:color="auto" w:fill="auto"/>
        </w:rPr>
        <w:t xml:space="preserve"> percentage points over the previous year respectively. The production of some high-tech products maintained rapid growth, with the output of new energy vehicles, wind turbine generator systems and pneumatic components increasing by 1.9 times, 45.6% and 36.5% respectively. The investment in high-tech industry in Beijing increased by 35.3%, which accounted for 15.7% of the investment in fixed assets in Beijing, increasing by 3.7 percentage points over the previous year. Of which, driven by the integrated circuit manufacturing and pharmaceutical manufacturing projects, the investment in high-tech manufacturing industry increased by 28.3%, and driven by the Internet related services fields, the investment in high-tech service industry increased by 41.3%.</w:t>
      </w:r>
    </w:p>
    <w:p>
      <w:pPr>
        <w:rPr>
          <w:color w:val="auto"/>
          <w:kern w:val="28"/>
          <w:sz w:val="28"/>
          <w:szCs w:val="28"/>
          <w:shd w:val="clear" w:color="auto" w:fill="auto"/>
        </w:rPr>
      </w:pPr>
      <w:r>
        <w:rPr>
          <w:rFonts w:hint="eastAsia"/>
          <w:b/>
          <w:color w:val="auto"/>
          <w:sz w:val="28"/>
          <w:szCs w:val="28"/>
          <w:shd w:val="clear" w:color="auto" w:fill="auto"/>
        </w:rPr>
        <w:t xml:space="preserve">Efficiency Improvement and Consumption Reduction: </w:t>
      </w:r>
      <w:r>
        <w:rPr>
          <w:color w:val="auto"/>
          <w:sz w:val="28"/>
          <w:szCs w:val="28"/>
          <w:shd w:val="clear" w:color="auto" w:fill="auto"/>
        </w:rPr>
        <w:t>Among industrial enterprises above designated size in Beijing, th</w:t>
      </w:r>
      <w:r>
        <w:rPr>
          <w:color w:val="auto"/>
          <w:kern w:val="28"/>
          <w:sz w:val="28"/>
          <w:szCs w:val="28"/>
          <w:shd w:val="clear" w:color="auto" w:fill="auto"/>
        </w:rPr>
        <w:t xml:space="preserve">e comprehensive energy consumption of high energy-consuming industries </w:t>
      </w:r>
      <w:r>
        <w:rPr>
          <w:rFonts w:hint="eastAsia"/>
          <w:color w:val="auto"/>
          <w:kern w:val="28"/>
          <w:sz w:val="28"/>
          <w:szCs w:val="28"/>
          <w:shd w:val="clear" w:color="auto" w:fill="auto"/>
        </w:rPr>
        <w:t>t</w:t>
      </w:r>
      <w:r>
        <w:rPr>
          <w:color w:val="auto"/>
          <w:kern w:val="28"/>
          <w:sz w:val="28"/>
          <w:szCs w:val="28"/>
          <w:shd w:val="clear" w:color="auto" w:fill="auto"/>
        </w:rPr>
        <w:t>otaled 14.09 million tons of SCE, down by 2.5% over the previous year.</w:t>
      </w:r>
      <w:r>
        <w:rPr>
          <w:color w:val="auto"/>
          <w:sz w:val="28"/>
          <w:szCs w:val="28"/>
          <w:shd w:val="clear" w:color="auto" w:fill="auto"/>
        </w:rPr>
        <w:t xml:space="preserve"> W</w:t>
      </w:r>
      <w:r>
        <w:rPr>
          <w:rFonts w:hint="eastAsia"/>
          <w:color w:val="auto"/>
          <w:kern w:val="28"/>
          <w:sz w:val="28"/>
          <w:szCs w:val="28"/>
          <w:shd w:val="clear" w:color="auto" w:fill="auto"/>
        </w:rPr>
        <w:t>a</w:t>
      </w:r>
      <w:r>
        <w:rPr>
          <w:color w:val="auto"/>
          <w:kern w:val="28"/>
          <w:sz w:val="28"/>
          <w:szCs w:val="28"/>
          <w:shd w:val="clear" w:color="auto" w:fill="auto"/>
        </w:rPr>
        <w:t>ter consumption in areas with GDP of RMB 10,000 was 9.61 m</w:t>
      </w:r>
      <w:r>
        <w:rPr>
          <w:color w:val="auto"/>
          <w:kern w:val="28"/>
          <w:sz w:val="28"/>
          <w:szCs w:val="28"/>
          <w:shd w:val="clear" w:color="auto" w:fill="auto"/>
          <w:vertAlign w:val="superscript"/>
        </w:rPr>
        <w:t>3</w:t>
      </w:r>
      <w:r>
        <w:rPr>
          <w:color w:val="auto"/>
          <w:kern w:val="28"/>
          <w:sz w:val="28"/>
          <w:szCs w:val="28"/>
          <w:shd w:val="clear" w:color="auto" w:fill="auto"/>
        </w:rPr>
        <w:t>, down by 2.71% at constant price.</w:t>
      </w:r>
      <w:r>
        <w:rPr>
          <w:rFonts w:hint="eastAsia"/>
          <w:color w:val="auto"/>
          <w:kern w:val="28"/>
          <w:sz w:val="28"/>
          <w:szCs w:val="28"/>
          <w:shd w:val="clear" w:color="auto" w:fill="auto"/>
        </w:rPr>
        <w:t xml:space="preserve"> Electricity generated from biomass energy, hydroenergy, solar energy, wind energy and other renewable energies increased by 1.</w:t>
      </w:r>
      <w:r>
        <w:rPr>
          <w:color w:val="auto"/>
          <w:kern w:val="28"/>
          <w:sz w:val="28"/>
          <w:szCs w:val="28"/>
          <w:shd w:val="clear" w:color="auto" w:fill="auto"/>
        </w:rPr>
        <w:t>2</w:t>
      </w:r>
      <w:r>
        <w:rPr>
          <w:rFonts w:hint="eastAsia"/>
          <w:color w:val="auto"/>
          <w:kern w:val="28"/>
          <w:sz w:val="28"/>
          <w:szCs w:val="28"/>
          <w:shd w:val="clear" w:color="auto" w:fill="auto"/>
        </w:rPr>
        <w:t>%, and the proportion in total electricity generation</w:t>
      </w:r>
      <w:r>
        <w:rPr>
          <w:color w:val="auto"/>
          <w:kern w:val="28"/>
          <w:sz w:val="28"/>
          <w:szCs w:val="28"/>
          <w:shd w:val="clear" w:color="auto" w:fill="auto"/>
        </w:rPr>
        <w:t xml:space="preserve"> was 10.9%, up</w:t>
      </w:r>
      <w:r>
        <w:rPr>
          <w:rFonts w:hint="eastAsia"/>
          <w:color w:val="auto"/>
          <w:kern w:val="28"/>
          <w:sz w:val="28"/>
          <w:szCs w:val="28"/>
          <w:shd w:val="clear" w:color="auto" w:fill="auto"/>
        </w:rPr>
        <w:t xml:space="preserve"> by </w:t>
      </w:r>
      <w:r>
        <w:rPr>
          <w:color w:val="auto"/>
          <w:kern w:val="28"/>
          <w:sz w:val="28"/>
          <w:szCs w:val="28"/>
          <w:shd w:val="clear" w:color="auto" w:fill="auto"/>
        </w:rPr>
        <w:t>0.2</w:t>
      </w:r>
      <w:r>
        <w:rPr>
          <w:rFonts w:hint="eastAsia"/>
          <w:color w:val="auto"/>
          <w:kern w:val="28"/>
          <w:sz w:val="28"/>
          <w:szCs w:val="28"/>
          <w:shd w:val="clear" w:color="auto" w:fill="auto"/>
        </w:rPr>
        <w:t xml:space="preserve"> percentage points over the previous year.</w:t>
      </w:r>
    </w:p>
    <w:p>
      <w:pPr>
        <w:widowControl/>
        <w:rPr>
          <w:color w:val="auto"/>
          <w:sz w:val="28"/>
          <w:szCs w:val="28"/>
          <w:shd w:val="clear" w:color="auto" w:fill="auto"/>
        </w:rPr>
      </w:pPr>
      <w:r>
        <w:rPr>
          <w:b/>
          <w:color w:val="auto"/>
          <w:sz w:val="28"/>
          <w:szCs w:val="28"/>
          <w:shd w:val="clear" w:color="auto" w:fill="auto"/>
        </w:rPr>
        <w:t>Guarantee</w:t>
      </w:r>
      <w:r>
        <w:rPr>
          <w:rFonts w:hint="eastAsia"/>
          <w:b/>
          <w:color w:val="auto"/>
          <w:sz w:val="28"/>
          <w:szCs w:val="28"/>
          <w:shd w:val="clear" w:color="auto" w:fill="auto"/>
        </w:rPr>
        <w:t xml:space="preserve"> of Living Standards: </w:t>
      </w:r>
      <w:r>
        <w:rPr>
          <w:color w:val="auto"/>
          <w:sz w:val="28"/>
          <w:szCs w:val="28"/>
          <w:shd w:val="clear" w:color="auto" w:fill="auto"/>
        </w:rPr>
        <w:t xml:space="preserve">In the general public budgetary expenditures </w:t>
      </w:r>
      <w:r>
        <w:rPr>
          <w:rFonts w:hint="eastAsia"/>
          <w:color w:val="auto"/>
          <w:sz w:val="28"/>
          <w:szCs w:val="28"/>
          <w:shd w:val="clear" w:color="auto" w:fill="auto"/>
        </w:rPr>
        <w:t>in 202</w:t>
      </w:r>
      <w:r>
        <w:rPr>
          <w:color w:val="auto"/>
          <w:sz w:val="28"/>
          <w:szCs w:val="28"/>
          <w:shd w:val="clear" w:color="auto" w:fill="auto"/>
        </w:rPr>
        <w:t xml:space="preserve">2, </w:t>
      </w:r>
      <w:r>
        <w:rPr>
          <w:rFonts w:hint="eastAsia"/>
          <w:color w:val="auto"/>
          <w:sz w:val="28"/>
          <w:szCs w:val="28"/>
          <w:shd w:val="clear" w:color="auto" w:fill="auto"/>
        </w:rPr>
        <w:t xml:space="preserve">the expenditures on </w:t>
      </w:r>
      <w:r>
        <w:rPr>
          <w:color w:val="auto"/>
          <w:sz w:val="28"/>
          <w:szCs w:val="28"/>
          <w:shd w:val="clear" w:color="auto" w:fill="auto"/>
        </w:rPr>
        <w:t>education, social security and employment</w:t>
      </w:r>
      <w:r>
        <w:rPr>
          <w:rFonts w:hint="eastAsia"/>
          <w:color w:val="auto"/>
          <w:sz w:val="28"/>
          <w:szCs w:val="28"/>
          <w:shd w:val="clear" w:color="auto" w:fill="auto"/>
        </w:rPr>
        <w:t xml:space="preserve"> and on health care</w:t>
      </w:r>
      <w:r>
        <w:rPr>
          <w:color w:val="auto"/>
          <w:sz w:val="28"/>
          <w:szCs w:val="28"/>
          <w:shd w:val="clear" w:color="auto" w:fill="auto"/>
        </w:rPr>
        <w:t xml:space="preserve"> reached RMB 117.11 billion, RMB 106.78 billion and RMB 77.58 billion respectively, together accounting for 40.4% of the general public budgetary expenditures, up by 1.0 percentage point over the previous year. The proportion of infrastructure investment invested in transportation and in the management of public facilities in Beijing was 42.3% and 21.1% respectively. Among the supply of residential lands, 304 hectares of land for rental housing were supplied through multiple channels, overfulfilling the annual plan. </w:t>
      </w:r>
    </w:p>
    <w:p>
      <w:pPr>
        <w:widowControl/>
        <w:rPr>
          <w:b/>
          <w:szCs w:val="21"/>
        </w:rPr>
      </w:pPr>
      <w:r>
        <w:rPr>
          <w:rFonts w:ascii="仿宋_GB2312" w:hAnsi="宋体" w:eastAsia="仿宋_GB2312"/>
          <w:sz w:val="32"/>
          <w:szCs w:val="32"/>
        </w:rPr>
        <w:br w:type="page"/>
      </w:r>
      <w:r>
        <w:rPr>
          <w:b/>
          <w:szCs w:val="21"/>
        </w:rPr>
        <w:t>Notes:</w:t>
      </w:r>
    </w:p>
    <w:bookmarkEnd w:id="26"/>
    <w:p>
      <w:pPr>
        <w:rPr>
          <w:kern w:val="28"/>
          <w:sz w:val="28"/>
          <w:szCs w:val="28"/>
        </w:rPr>
      </w:pPr>
    </w:p>
    <w:sectPr>
      <w:footerReference r:id="rId4" w:type="default"/>
      <w:footerReference r:id="rId5" w:type="even"/>
      <w:endnotePr>
        <w:numFmt w:val="decimal"/>
      </w:endnotePr>
      <w:pgSz w:w="11906" w:h="16838"/>
      <w:pgMar w:top="1985" w:right="1531" w:bottom="1701" w:left="1531"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24">
    <w:p>
      <w:r>
        <w:separator/>
      </w:r>
    </w:p>
  </w:endnote>
  <w:endnote w:type="continuationSeparator" w:id="25">
    <w:p>
      <w:r>
        <w:continuationSeparator/>
      </w:r>
    </w:p>
  </w:endnote>
  <w:endnote w:id="0">
    <w:p>
      <w:pPr>
        <w:pStyle w:val="6"/>
        <w:ind w:left="409" w:leftChars="0" w:hanging="409" w:hangingChars="195"/>
        <w:jc w:val="both"/>
        <w:rPr>
          <w:szCs w:val="21"/>
          <w:vertAlign w:val="baseline"/>
        </w:rPr>
      </w:pPr>
      <w:r>
        <w:rPr>
          <w:rStyle w:val="18"/>
          <w:vertAlign w:val="baseline"/>
        </w:rPr>
        <w:t>[1]</w:t>
      </w:r>
      <w:r>
        <w:rPr>
          <w:vertAlign w:val="baseline"/>
        </w:rPr>
        <w:t xml:space="preserve"> </w:t>
      </w:r>
      <w:r>
        <w:rPr>
          <w:szCs w:val="21"/>
          <w:vertAlign w:val="baseline"/>
        </w:rPr>
        <w:t>All data of 20</w:t>
      </w:r>
      <w:r>
        <w:rPr>
          <w:rFonts w:hint="eastAsia"/>
          <w:szCs w:val="21"/>
          <w:vertAlign w:val="baseline"/>
        </w:rPr>
        <w:t>2</w:t>
      </w:r>
      <w:r>
        <w:rPr>
          <w:szCs w:val="21"/>
          <w:vertAlign w:val="baseline"/>
        </w:rPr>
        <w:t xml:space="preserve">2 is from the result of preliminary statistics. </w:t>
      </w:r>
      <w:r>
        <w:rPr>
          <w:rFonts w:hint="eastAsia"/>
          <w:szCs w:val="21"/>
          <w:vertAlign w:val="baseline"/>
        </w:rPr>
        <w:t>N</w:t>
      </w:r>
      <w:r>
        <w:rPr>
          <w:szCs w:val="21"/>
          <w:vertAlign w:val="baseline"/>
        </w:rPr>
        <w:t>o mechanical adjustment is made to the statistical discrepancies on part of total or relative figures that are caused by different measurement units.</w:t>
      </w:r>
    </w:p>
    <w:p>
      <w:pPr>
        <w:pStyle w:val="6"/>
        <w:ind w:left="210" w:hanging="210" w:hangingChars="100"/>
        <w:jc w:val="both"/>
        <w:rPr>
          <w:vertAlign w:val="baseline"/>
        </w:rPr>
      </w:pPr>
    </w:p>
  </w:endnote>
  <w:endnote w:id="1">
    <w:p>
      <w:pPr>
        <w:pStyle w:val="6"/>
        <w:ind w:left="409" w:leftChars="0" w:hanging="409" w:hangingChars="195"/>
        <w:jc w:val="both"/>
        <w:rPr>
          <w:color w:val="auto"/>
          <w:szCs w:val="21"/>
          <w:shd w:val="clear" w:color="auto" w:fill="auto"/>
          <w:vertAlign w:val="baseline"/>
        </w:rPr>
      </w:pPr>
      <w:r>
        <w:rPr>
          <w:rStyle w:val="18"/>
          <w:color w:val="auto"/>
          <w:shd w:val="clear" w:color="auto" w:fill="auto"/>
          <w:vertAlign w:val="baseline"/>
        </w:rPr>
        <w:t>[2]</w:t>
      </w:r>
      <w:r>
        <w:rPr>
          <w:color w:val="auto"/>
          <w:shd w:val="clear" w:color="auto" w:fill="auto"/>
          <w:vertAlign w:val="baseline"/>
        </w:rPr>
        <w:t xml:space="preserve"> </w:t>
      </w:r>
      <w:r>
        <w:rPr>
          <w:color w:val="auto"/>
          <w:szCs w:val="21"/>
          <w:shd w:val="clear" w:color="auto" w:fill="auto"/>
          <w:vertAlign w:val="baseline"/>
        </w:rPr>
        <w:t xml:space="preserve">The classification of three industries is based on the </w:t>
      </w:r>
      <w:r>
        <w:rPr>
          <w:i/>
          <w:color w:val="auto"/>
          <w:szCs w:val="21"/>
          <w:shd w:val="clear" w:color="auto" w:fill="auto"/>
          <w:vertAlign w:val="baseline"/>
        </w:rPr>
        <w:t>Regulations on Three Industries Classification</w:t>
      </w:r>
      <w:r>
        <w:rPr>
          <w:color w:val="auto"/>
          <w:szCs w:val="21"/>
          <w:shd w:val="clear" w:color="auto" w:fill="auto"/>
          <w:vertAlign w:val="baseline"/>
        </w:rPr>
        <w:t xml:space="preserve"> (G.T.Z. [2012] No. 108) revised by the National Bureau of Statistics in 2018; the classification of sectors is based on the </w:t>
      </w:r>
      <w:r>
        <w:rPr>
          <w:i/>
          <w:color w:val="auto"/>
          <w:szCs w:val="21"/>
          <w:shd w:val="clear" w:color="auto" w:fill="auto"/>
          <w:vertAlign w:val="baseline"/>
        </w:rPr>
        <w:t>Classification of National Economic Sectors</w:t>
      </w:r>
      <w:r>
        <w:rPr>
          <w:color w:val="auto"/>
          <w:szCs w:val="21"/>
          <w:shd w:val="clear" w:color="auto" w:fill="auto"/>
          <w:vertAlign w:val="baseline"/>
        </w:rPr>
        <w:t xml:space="preserve"> (GB/T4754-201</w:t>
      </w:r>
      <w:r>
        <w:rPr>
          <w:rFonts w:hint="eastAsia"/>
          <w:color w:val="auto"/>
          <w:szCs w:val="21"/>
          <w:shd w:val="clear" w:color="auto" w:fill="auto"/>
          <w:vertAlign w:val="baseline"/>
        </w:rPr>
        <w:t>7</w:t>
      </w:r>
      <w:r>
        <w:rPr>
          <w:color w:val="auto"/>
          <w:szCs w:val="21"/>
          <w:shd w:val="clear" w:color="auto" w:fill="auto"/>
          <w:vertAlign w:val="baseline"/>
        </w:rPr>
        <w:t>)</w:t>
      </w:r>
      <w:r>
        <w:rPr>
          <w:rFonts w:hint="eastAsia"/>
          <w:color w:val="auto"/>
          <w:szCs w:val="21"/>
          <w:shd w:val="clear" w:color="auto" w:fill="auto"/>
          <w:vertAlign w:val="baseline"/>
        </w:rPr>
        <w:t>.</w:t>
      </w:r>
    </w:p>
    <w:p>
      <w:pPr>
        <w:pStyle w:val="6"/>
        <w:ind w:left="210" w:hanging="210" w:hangingChars="100"/>
        <w:jc w:val="both"/>
        <w:rPr>
          <w:color w:val="auto"/>
          <w:shd w:val="clear" w:color="auto" w:fill="auto"/>
          <w:vertAlign w:val="baseline"/>
        </w:rPr>
      </w:pPr>
    </w:p>
  </w:endnote>
  <w:endnote w:id="2">
    <w:p>
      <w:pPr>
        <w:pStyle w:val="6"/>
        <w:ind w:left="409" w:leftChars="0" w:hanging="409" w:hangingChars="195"/>
        <w:jc w:val="both"/>
        <w:rPr>
          <w:color w:val="auto"/>
          <w:shd w:val="clear" w:color="auto" w:fill="auto"/>
          <w:vertAlign w:val="baseline"/>
        </w:rPr>
      </w:pPr>
      <w:r>
        <w:rPr>
          <w:rStyle w:val="18"/>
          <w:color w:val="auto"/>
          <w:shd w:val="clear" w:color="auto" w:fill="auto"/>
          <w:vertAlign w:val="baseline"/>
        </w:rPr>
        <w:t>[3]</w:t>
      </w:r>
      <w:r>
        <w:rPr>
          <w:color w:val="auto"/>
          <w:shd w:val="clear" w:color="auto" w:fill="auto"/>
          <w:vertAlign w:val="baseline"/>
        </w:rPr>
        <w:t xml:space="preserve"> </w:t>
      </w:r>
      <w:bookmarkStart w:id="30" w:name="_Hlk129154949"/>
      <w:r>
        <w:rPr>
          <w:color w:val="auto"/>
          <w:shd w:val="clear" w:color="auto" w:fill="auto"/>
          <w:vertAlign w:val="baseline"/>
        </w:rPr>
        <w:t>The data on permanent population for 2022 is estimated from sample surveys on</w:t>
      </w:r>
      <w:r>
        <w:rPr>
          <w:rFonts w:hint="default"/>
          <w:color w:val="auto"/>
          <w:shd w:val="clear" w:color="auto" w:fill="auto"/>
          <w:vertAlign w:val="baseline"/>
          <w:lang w:val="en"/>
        </w:rPr>
        <w:t xml:space="preserve"> </w:t>
      </w:r>
      <w:r>
        <w:rPr>
          <w:color w:val="auto"/>
          <w:shd w:val="clear" w:color="auto" w:fill="auto"/>
          <w:vertAlign w:val="baseline"/>
        </w:rPr>
        <w:t>population changes in 2022 organized and conducted in a unified way throughout the country. The standard time point of survey is 00:00 on November 1, 2022</w:t>
      </w:r>
      <w:bookmarkEnd w:id="30"/>
      <w:r>
        <w:rPr>
          <w:color w:val="auto"/>
          <w:shd w:val="clear" w:color="auto" w:fill="auto"/>
          <w:vertAlign w:val="baseline"/>
        </w:rPr>
        <w:t>.</w:t>
      </w:r>
    </w:p>
    <w:p>
      <w:pPr>
        <w:pStyle w:val="6"/>
        <w:ind w:left="210" w:hanging="210" w:hangingChars="100"/>
        <w:jc w:val="both"/>
        <w:rPr>
          <w:color w:val="auto"/>
          <w:shd w:val="clear" w:color="auto" w:fill="auto"/>
          <w:vertAlign w:val="baseline"/>
        </w:rPr>
      </w:pPr>
    </w:p>
  </w:endnote>
  <w:endnote w:id="3">
    <w:p>
      <w:pPr>
        <w:pStyle w:val="6"/>
        <w:ind w:left="409" w:leftChars="0" w:hanging="409" w:hangingChars="195"/>
        <w:jc w:val="both"/>
        <w:rPr>
          <w:color w:val="auto"/>
          <w:szCs w:val="21"/>
          <w:shd w:val="clear" w:color="auto" w:fill="auto"/>
          <w:vertAlign w:val="baseline"/>
        </w:rPr>
      </w:pPr>
      <w:r>
        <w:rPr>
          <w:rStyle w:val="18"/>
          <w:color w:val="auto"/>
          <w:shd w:val="clear" w:color="auto" w:fill="auto"/>
          <w:vertAlign w:val="baseline"/>
        </w:rPr>
        <w:t>[4]</w:t>
      </w:r>
      <w:r>
        <w:rPr>
          <w:color w:val="auto"/>
          <w:shd w:val="clear" w:color="auto" w:fill="auto"/>
          <w:vertAlign w:val="baseline"/>
        </w:rPr>
        <w:t xml:space="preserve"> </w:t>
      </w:r>
      <w:r>
        <w:rPr>
          <w:color w:val="auto"/>
          <w:szCs w:val="21"/>
          <w:shd w:val="clear" w:color="auto" w:fill="auto"/>
          <w:vertAlign w:val="baseline"/>
        </w:rPr>
        <w:t xml:space="preserve">Industrial enterprises above designated size refer to all </w:t>
      </w:r>
      <w:r>
        <w:rPr>
          <w:rFonts w:hint="eastAsia"/>
          <w:color w:val="auto"/>
          <w:szCs w:val="21"/>
          <w:shd w:val="clear" w:color="auto" w:fill="auto"/>
          <w:vertAlign w:val="baseline"/>
        </w:rPr>
        <w:t xml:space="preserve">industrial </w:t>
      </w:r>
      <w:r>
        <w:rPr>
          <w:color w:val="auto"/>
          <w:szCs w:val="21"/>
          <w:shd w:val="clear" w:color="auto" w:fill="auto"/>
          <w:vertAlign w:val="baseline"/>
        </w:rPr>
        <w:t>legal person enterprises with annual main business revenue of RMB 20 million and above.</w:t>
      </w:r>
    </w:p>
    <w:p>
      <w:pPr>
        <w:pStyle w:val="6"/>
        <w:ind w:left="409" w:leftChars="0" w:hanging="409" w:hangingChars="195"/>
        <w:jc w:val="both"/>
        <w:rPr>
          <w:color w:val="auto"/>
          <w:szCs w:val="21"/>
          <w:shd w:val="clear" w:color="auto" w:fill="auto"/>
          <w:vertAlign w:val="baseline"/>
        </w:rPr>
      </w:pPr>
    </w:p>
  </w:endnote>
  <w:endnote w:id="4">
    <w:p>
      <w:pPr>
        <w:pStyle w:val="6"/>
        <w:numPr>
          <w:ilvl w:val="0"/>
          <w:numId w:val="0"/>
        </w:numPr>
        <w:tabs>
          <w:tab w:val="left" w:pos="420"/>
        </w:tabs>
        <w:ind w:left="417" w:leftChars="0" w:hanging="417" w:hangingChars="199"/>
        <w:jc w:val="both"/>
        <w:rPr>
          <w:color w:val="auto"/>
          <w:shd w:val="clear" w:color="auto" w:fill="auto"/>
          <w:vertAlign w:val="baseline"/>
        </w:rPr>
      </w:pPr>
      <w:r>
        <w:rPr>
          <w:rFonts w:hint="default"/>
          <w:color w:val="auto"/>
          <w:shd w:val="clear" w:color="auto" w:fill="auto"/>
          <w:vertAlign w:val="baseline"/>
          <w:lang w:val="en"/>
        </w:rPr>
        <w:t xml:space="preserve">[5] </w:t>
      </w:r>
      <w:r>
        <w:rPr>
          <w:color w:val="auto"/>
          <w:shd w:val="clear" w:color="auto" w:fill="auto"/>
          <w:vertAlign w:val="baseline"/>
        </w:rPr>
        <w:t>B</w:t>
      </w:r>
      <w:r>
        <w:rPr>
          <w:rFonts w:hint="eastAsia"/>
          <w:color w:val="auto"/>
          <w:shd w:val="clear" w:color="auto" w:fill="auto"/>
          <w:vertAlign w:val="baseline"/>
        </w:rPr>
        <w:t xml:space="preserve">usiness volume of post industry </w:t>
      </w:r>
      <w:r>
        <w:rPr>
          <w:color w:val="auto"/>
          <w:shd w:val="clear" w:color="auto" w:fill="auto"/>
          <w:vertAlign w:val="baseline"/>
        </w:rPr>
        <w:t>is calculated based on the constant price of 2020</w:t>
      </w:r>
      <w:r>
        <w:rPr>
          <w:rFonts w:hint="eastAsia"/>
          <w:color w:val="auto"/>
          <w:shd w:val="clear" w:color="auto" w:fill="auto"/>
          <w:vertAlign w:val="baseline"/>
        </w:rPr>
        <w:t>; the growth rates are calculated on a comparable basis</w:t>
      </w:r>
      <w:r>
        <w:rPr>
          <w:color w:val="auto"/>
          <w:shd w:val="clear" w:color="auto" w:fill="auto"/>
          <w:vertAlign w:val="baseline"/>
        </w:rPr>
        <w:t>.</w:t>
      </w:r>
    </w:p>
    <w:p>
      <w:pPr>
        <w:pStyle w:val="6"/>
        <w:numPr>
          <w:ilvl w:val="0"/>
          <w:numId w:val="0"/>
        </w:numPr>
        <w:tabs>
          <w:tab w:val="left" w:pos="420"/>
        </w:tabs>
        <w:ind w:left="417" w:leftChars="0" w:hanging="417" w:hangingChars="199"/>
        <w:jc w:val="both"/>
        <w:rPr>
          <w:rFonts w:hint="default"/>
          <w:color w:val="auto"/>
          <w:shd w:val="clear" w:color="auto" w:fill="auto"/>
          <w:vertAlign w:val="baseline"/>
          <w:lang w:val="en"/>
        </w:rPr>
      </w:pPr>
    </w:p>
    <w:p>
      <w:pPr>
        <w:pStyle w:val="6"/>
        <w:numPr>
          <w:ilvl w:val="0"/>
          <w:numId w:val="0"/>
        </w:numPr>
        <w:tabs>
          <w:tab w:val="left" w:pos="420"/>
        </w:tabs>
        <w:ind w:left="522" w:leftChars="0" w:hanging="522" w:hangingChars="249"/>
        <w:jc w:val="both"/>
        <w:rPr>
          <w:color w:val="auto"/>
          <w:shd w:val="clear" w:color="auto" w:fill="auto"/>
          <w:vertAlign w:val="baseline"/>
        </w:rPr>
      </w:pPr>
      <w:r>
        <w:rPr>
          <w:rFonts w:hint="default"/>
          <w:color w:val="auto"/>
          <w:shd w:val="clear" w:color="auto" w:fill="auto"/>
          <w:vertAlign w:val="baseline"/>
          <w:lang w:val="en"/>
        </w:rPr>
        <w:t xml:space="preserve">[6] </w:t>
      </w:r>
      <w:r>
        <w:rPr>
          <w:color w:val="auto"/>
          <w:shd w:val="clear" w:color="auto" w:fill="auto"/>
          <w:vertAlign w:val="baseline"/>
        </w:rPr>
        <w:t>B</w:t>
      </w:r>
      <w:r>
        <w:rPr>
          <w:rFonts w:hint="eastAsia"/>
          <w:color w:val="auto"/>
          <w:shd w:val="clear" w:color="auto" w:fill="auto"/>
          <w:vertAlign w:val="baseline"/>
        </w:rPr>
        <w:t xml:space="preserve">usiness volume of </w:t>
      </w:r>
      <w:r>
        <w:rPr>
          <w:color w:val="auto"/>
          <w:shd w:val="clear" w:color="auto" w:fill="auto"/>
          <w:vertAlign w:val="baseline"/>
        </w:rPr>
        <w:t>telecommunication</w:t>
      </w:r>
      <w:r>
        <w:rPr>
          <w:rFonts w:hint="eastAsia"/>
          <w:color w:val="auto"/>
          <w:shd w:val="clear" w:color="auto" w:fill="auto"/>
          <w:vertAlign w:val="baseline"/>
        </w:rPr>
        <w:t>s</w:t>
      </w:r>
      <w:r>
        <w:rPr>
          <w:color w:val="auto"/>
          <w:shd w:val="clear" w:color="auto" w:fill="auto"/>
          <w:vertAlign w:val="baseline"/>
        </w:rPr>
        <w:t xml:space="preserve"> services of telecommunications enterprises</w:t>
      </w:r>
      <w:r>
        <w:rPr>
          <w:rFonts w:hint="eastAsia"/>
          <w:color w:val="auto"/>
          <w:shd w:val="clear" w:color="auto" w:fill="auto"/>
          <w:vertAlign w:val="baseline"/>
        </w:rPr>
        <w:t xml:space="preserve"> </w:t>
      </w:r>
      <w:r>
        <w:rPr>
          <w:color w:val="auto"/>
          <w:shd w:val="clear" w:color="auto" w:fill="auto"/>
          <w:vertAlign w:val="baseline"/>
        </w:rPr>
        <w:t>are calculated based on the constant price of 2021</w:t>
      </w:r>
      <w:r>
        <w:rPr>
          <w:rFonts w:hint="eastAsia"/>
          <w:color w:val="auto"/>
          <w:shd w:val="clear" w:color="auto" w:fill="auto"/>
          <w:vertAlign w:val="baseline"/>
        </w:rPr>
        <w:t>; the growth rates are calculated on a comparable basis</w:t>
      </w:r>
      <w:r>
        <w:rPr>
          <w:color w:val="auto"/>
          <w:shd w:val="clear" w:color="auto" w:fill="auto"/>
          <w:vertAlign w:val="baseline"/>
        </w:rPr>
        <w:t>.</w:t>
      </w:r>
    </w:p>
  </w:endnote>
  <w:endnote w:id="5">
    <w:p>
      <w:pPr>
        <w:pStyle w:val="6"/>
        <w:jc w:val="both"/>
        <w:rPr>
          <w:color w:val="auto"/>
          <w:shd w:val="clear" w:color="auto" w:fill="auto"/>
          <w:vertAlign w:val="baseline"/>
        </w:rPr>
      </w:pPr>
    </w:p>
  </w:endnote>
  <w:endnote w:id="6">
    <w:p>
      <w:pPr>
        <w:pStyle w:val="6"/>
        <w:ind w:left="409" w:leftChars="0" w:hanging="409" w:hangingChars="195"/>
        <w:jc w:val="both"/>
        <w:rPr>
          <w:color w:val="auto"/>
          <w:szCs w:val="21"/>
          <w:shd w:val="clear" w:color="auto" w:fill="auto"/>
          <w:vertAlign w:val="baseline"/>
        </w:rPr>
      </w:pPr>
      <w:r>
        <w:rPr>
          <w:rStyle w:val="18"/>
          <w:color w:val="auto"/>
          <w:shd w:val="clear" w:color="auto" w:fill="auto"/>
          <w:vertAlign w:val="baseline"/>
        </w:rPr>
        <w:t>[7]</w:t>
      </w:r>
      <w:r>
        <w:rPr>
          <w:color w:val="auto"/>
          <w:shd w:val="clear" w:color="auto" w:fill="auto"/>
          <w:vertAlign w:val="baseline"/>
        </w:rPr>
        <w:t xml:space="preserve"> </w:t>
      </w:r>
      <w:r>
        <w:rPr>
          <w:color w:val="auto"/>
          <w:szCs w:val="21"/>
          <w:shd w:val="clear" w:color="auto" w:fill="auto"/>
          <w:vertAlign w:val="baseline"/>
        </w:rPr>
        <w:t xml:space="preserve">Wholesale and retail units above designated size refer to the wholesale units with annual main business revenue of RMB 20 million and above, </w:t>
      </w:r>
      <w:r>
        <w:rPr>
          <w:rFonts w:hint="eastAsia"/>
          <w:color w:val="auto"/>
          <w:szCs w:val="21"/>
          <w:shd w:val="clear" w:color="auto" w:fill="auto"/>
          <w:vertAlign w:val="baseline"/>
        </w:rPr>
        <w:t>and</w:t>
      </w:r>
      <w:r>
        <w:rPr>
          <w:color w:val="auto"/>
          <w:szCs w:val="21"/>
          <w:shd w:val="clear" w:color="auto" w:fill="auto"/>
          <w:vertAlign w:val="baseline"/>
        </w:rPr>
        <w:t xml:space="preserve"> retail units with annual main business revenue of RMB </w:t>
      </w:r>
      <w:r>
        <w:rPr>
          <w:rFonts w:hint="eastAsia"/>
          <w:color w:val="auto"/>
          <w:szCs w:val="21"/>
          <w:shd w:val="clear" w:color="auto" w:fill="auto"/>
          <w:vertAlign w:val="baseline"/>
        </w:rPr>
        <w:t>5</w:t>
      </w:r>
      <w:r>
        <w:rPr>
          <w:color w:val="auto"/>
          <w:szCs w:val="21"/>
          <w:shd w:val="clear" w:color="auto" w:fill="auto"/>
          <w:vertAlign w:val="baseline"/>
        </w:rPr>
        <w:t xml:space="preserve"> million and above</w:t>
      </w:r>
      <w:r>
        <w:rPr>
          <w:rFonts w:hint="eastAsia"/>
          <w:color w:val="auto"/>
          <w:szCs w:val="21"/>
          <w:shd w:val="clear" w:color="auto" w:fill="auto"/>
          <w:vertAlign w:val="baseline"/>
        </w:rPr>
        <w:t xml:space="preserve"> </w:t>
      </w:r>
      <w:r>
        <w:rPr>
          <w:color w:val="auto"/>
          <w:szCs w:val="21"/>
          <w:shd w:val="clear" w:color="auto" w:fill="auto"/>
          <w:vertAlign w:val="baseline"/>
        </w:rPr>
        <w:t>(including legal entities, industrial activities units and self-employed households</w:t>
      </w:r>
      <w:r>
        <w:rPr>
          <w:rFonts w:hint="eastAsia"/>
          <w:color w:val="auto"/>
          <w:szCs w:val="21"/>
          <w:shd w:val="clear" w:color="auto" w:fill="auto"/>
          <w:vertAlign w:val="baseline"/>
        </w:rPr>
        <w:t>)</w:t>
      </w:r>
      <w:r>
        <w:rPr>
          <w:rFonts w:hint="default"/>
          <w:color w:val="auto"/>
          <w:szCs w:val="21"/>
          <w:shd w:val="clear" w:color="auto" w:fill="auto"/>
          <w:vertAlign w:val="baseline"/>
          <w:lang w:val="en"/>
        </w:rPr>
        <w:t>.</w:t>
      </w:r>
      <w:r>
        <w:rPr>
          <w:color w:val="auto"/>
          <w:szCs w:val="21"/>
          <w:shd w:val="clear" w:color="auto" w:fill="auto"/>
          <w:vertAlign w:val="baseline"/>
        </w:rPr>
        <w:t xml:space="preserve"> </w:t>
      </w:r>
    </w:p>
    <w:p>
      <w:pPr>
        <w:pStyle w:val="6"/>
        <w:ind w:left="210" w:hanging="210" w:hangingChars="100"/>
        <w:jc w:val="both"/>
        <w:rPr>
          <w:color w:val="auto"/>
          <w:shd w:val="clear" w:color="auto" w:fill="auto"/>
          <w:vertAlign w:val="baseline"/>
        </w:rPr>
      </w:pPr>
    </w:p>
  </w:endnote>
  <w:endnote w:id="7">
    <w:p>
      <w:pPr>
        <w:pStyle w:val="6"/>
        <w:ind w:left="409" w:leftChars="0" w:hanging="409" w:hangingChars="195"/>
        <w:jc w:val="both"/>
        <w:rPr>
          <w:color w:val="auto"/>
          <w:shd w:val="clear" w:color="auto" w:fill="auto"/>
          <w:vertAlign w:val="baseline"/>
        </w:rPr>
      </w:pPr>
      <w:r>
        <w:rPr>
          <w:rStyle w:val="18"/>
          <w:color w:val="auto"/>
          <w:shd w:val="clear" w:color="auto" w:fill="auto"/>
          <w:vertAlign w:val="baseline"/>
        </w:rPr>
        <w:t>[8]</w:t>
      </w:r>
      <w:r>
        <w:rPr>
          <w:color w:val="auto"/>
          <w:shd w:val="clear" w:color="auto" w:fill="auto"/>
          <w:vertAlign w:val="baseline"/>
        </w:rPr>
        <w:t xml:space="preserve"> According to the </w:t>
      </w:r>
      <w:r>
        <w:rPr>
          <w:i/>
          <w:iCs/>
          <w:color w:val="auto"/>
          <w:shd w:val="clear" w:color="auto" w:fill="auto"/>
          <w:vertAlign w:val="baseline"/>
        </w:rPr>
        <w:t>Statistical Survey System on Foreign Investment</w:t>
      </w:r>
      <w:r>
        <w:rPr>
          <w:color w:val="auto"/>
          <w:shd w:val="clear" w:color="auto" w:fill="auto"/>
          <w:vertAlign w:val="baseline"/>
        </w:rPr>
        <w:t xml:space="preserve"> newly revised by the Ministry of Commerce, since May 2022, the data of foreign direct investment in actual use is that of full coverage of banking, securities and insurance fields, and the data of growth rate refers to the growth rate of the same coverage of the fields excluding the aforementioned ones.</w:t>
      </w:r>
    </w:p>
    <w:p>
      <w:pPr>
        <w:pStyle w:val="6"/>
        <w:ind w:left="210" w:hanging="210" w:hangingChars="100"/>
        <w:jc w:val="both"/>
        <w:rPr>
          <w:color w:val="auto"/>
          <w:shd w:val="clear" w:color="auto" w:fill="auto"/>
          <w:vertAlign w:val="baseline"/>
        </w:rPr>
      </w:pPr>
    </w:p>
  </w:endnote>
  <w:endnote w:id="8">
    <w:p>
      <w:pPr>
        <w:pStyle w:val="6"/>
        <w:ind w:left="409" w:leftChars="0" w:hanging="409" w:hangingChars="195"/>
        <w:jc w:val="both"/>
        <w:rPr>
          <w:color w:val="auto"/>
          <w:szCs w:val="21"/>
          <w:shd w:val="clear" w:color="auto" w:fill="auto"/>
          <w:vertAlign w:val="baseline"/>
        </w:rPr>
      </w:pPr>
      <w:r>
        <w:rPr>
          <w:rStyle w:val="18"/>
          <w:color w:val="auto"/>
          <w:shd w:val="clear" w:color="auto" w:fill="auto"/>
          <w:vertAlign w:val="baseline"/>
        </w:rPr>
        <w:t>[9]</w:t>
      </w:r>
      <w:r>
        <w:rPr>
          <w:color w:val="auto"/>
          <w:shd w:val="clear" w:color="auto" w:fill="auto"/>
          <w:vertAlign w:val="baseline"/>
        </w:rPr>
        <w:t xml:space="preserve"> </w:t>
      </w:r>
      <w:r>
        <w:rPr>
          <w:color w:val="auto"/>
          <w:szCs w:val="21"/>
          <w:shd w:val="clear" w:color="auto" w:fill="auto"/>
          <w:vertAlign w:val="baseline"/>
        </w:rPr>
        <w:t xml:space="preserve">The total supply of natural gas </w:t>
      </w:r>
      <w:r>
        <w:rPr>
          <w:rFonts w:hint="eastAsia"/>
          <w:color w:val="auto"/>
          <w:szCs w:val="21"/>
          <w:shd w:val="clear" w:color="auto" w:fill="auto"/>
          <w:vertAlign w:val="baseline"/>
        </w:rPr>
        <w:t>in</w:t>
      </w:r>
      <w:r>
        <w:rPr>
          <w:color w:val="auto"/>
          <w:szCs w:val="21"/>
          <w:shd w:val="clear" w:color="auto" w:fill="auto"/>
          <w:vertAlign w:val="baseline"/>
        </w:rPr>
        <w:t xml:space="preserve">cludes the supply </w:t>
      </w:r>
      <w:r>
        <w:rPr>
          <w:rFonts w:hint="eastAsia"/>
          <w:color w:val="auto"/>
          <w:szCs w:val="21"/>
          <w:shd w:val="clear" w:color="auto" w:fill="auto"/>
          <w:vertAlign w:val="baseline"/>
        </w:rPr>
        <w:t>of</w:t>
      </w:r>
      <w:r>
        <w:rPr>
          <w:color w:val="auto"/>
          <w:szCs w:val="21"/>
          <w:shd w:val="clear" w:color="auto" w:fill="auto"/>
          <w:vertAlign w:val="baseline"/>
        </w:rPr>
        <w:t xml:space="preserve"> SINOPEC Beijing Yanshan Company.</w:t>
      </w:r>
    </w:p>
    <w:p>
      <w:pPr>
        <w:pStyle w:val="6"/>
        <w:ind w:left="210" w:hanging="210" w:hangingChars="100"/>
        <w:jc w:val="both"/>
        <w:rPr>
          <w:color w:val="auto"/>
          <w:shd w:val="clear" w:color="auto" w:fill="auto"/>
          <w:vertAlign w:val="baseline"/>
        </w:rPr>
      </w:pPr>
    </w:p>
  </w:endnote>
  <w:endnote w:id="9">
    <w:p>
      <w:pPr>
        <w:pStyle w:val="6"/>
        <w:ind w:left="529" w:leftChars="0" w:hanging="529" w:hangingChars="252"/>
        <w:jc w:val="both"/>
        <w:rPr>
          <w:color w:val="auto"/>
          <w:szCs w:val="21"/>
          <w:shd w:val="clear" w:color="auto" w:fill="auto"/>
          <w:vertAlign w:val="baseline"/>
        </w:rPr>
      </w:pPr>
      <w:r>
        <w:rPr>
          <w:rStyle w:val="18"/>
          <w:color w:val="auto"/>
          <w:shd w:val="clear" w:color="auto" w:fill="auto"/>
          <w:vertAlign w:val="baseline"/>
        </w:rPr>
        <w:t>[10]</w:t>
      </w:r>
      <w:r>
        <w:rPr>
          <w:color w:val="auto"/>
          <w:shd w:val="clear" w:color="auto" w:fill="auto"/>
          <w:vertAlign w:val="baseline"/>
        </w:rPr>
        <w:t xml:space="preserve"> </w:t>
      </w:r>
      <w:r>
        <w:rPr>
          <w:color w:val="auto"/>
          <w:szCs w:val="21"/>
          <w:shd w:val="clear" w:color="auto" w:fill="auto"/>
          <w:vertAlign w:val="baseline"/>
        </w:rPr>
        <w:t>The data of medical institutions and health technical personnel includes that of Beijing troops and armed police hospitals and excludes data of beds.</w:t>
      </w:r>
    </w:p>
    <w:p>
      <w:pPr>
        <w:pStyle w:val="6"/>
        <w:ind w:left="210" w:hanging="210" w:hangingChars="100"/>
        <w:jc w:val="both"/>
        <w:rPr>
          <w:color w:val="auto"/>
          <w:shd w:val="clear" w:color="auto" w:fill="auto"/>
          <w:vertAlign w:val="baseline"/>
        </w:rPr>
      </w:pPr>
    </w:p>
  </w:endnote>
  <w:endnote w:id="10">
    <w:p>
      <w:pPr>
        <w:pStyle w:val="6"/>
        <w:ind w:left="531" w:leftChars="0" w:hanging="531" w:hangingChars="253"/>
        <w:jc w:val="both"/>
        <w:rPr>
          <w:color w:val="auto"/>
          <w:szCs w:val="21"/>
          <w:shd w:val="clear" w:color="auto" w:fill="auto"/>
          <w:vertAlign w:val="baseline"/>
        </w:rPr>
      </w:pPr>
      <w:r>
        <w:rPr>
          <w:rStyle w:val="18"/>
          <w:color w:val="auto"/>
          <w:shd w:val="clear" w:color="auto" w:fill="auto"/>
          <w:vertAlign w:val="baseline"/>
        </w:rPr>
        <w:t>[11]</w:t>
      </w:r>
      <w:r>
        <w:rPr>
          <w:color w:val="auto"/>
          <w:shd w:val="clear" w:color="auto" w:fill="auto"/>
          <w:vertAlign w:val="baseline"/>
        </w:rPr>
        <w:t xml:space="preserve"> </w:t>
      </w:r>
      <w:r>
        <w:rPr>
          <w:rFonts w:hint="eastAsia"/>
          <w:color w:val="auto"/>
          <w:szCs w:val="21"/>
          <w:shd w:val="clear" w:color="auto" w:fill="auto"/>
          <w:vertAlign w:val="baseline"/>
        </w:rPr>
        <w:t>Construction lands for special use and for transport and water conservancy use refer to the specially-designated lands, lands for transport use, and lands for waters and water conservancy facilities</w:t>
      </w:r>
      <w:r>
        <w:rPr>
          <w:color w:val="auto"/>
          <w:szCs w:val="21"/>
          <w:shd w:val="clear" w:color="auto" w:fill="auto"/>
          <w:vertAlign w:val="baseline"/>
        </w:rPr>
        <w:t>.</w:t>
      </w:r>
    </w:p>
    <w:p>
      <w:pPr>
        <w:pStyle w:val="6"/>
        <w:ind w:left="210" w:hanging="210" w:hangingChars="100"/>
        <w:jc w:val="both"/>
        <w:rPr>
          <w:color w:val="auto"/>
          <w:szCs w:val="21"/>
          <w:shd w:val="clear" w:color="auto" w:fill="auto"/>
          <w:vertAlign w:val="baseline"/>
        </w:rPr>
      </w:pPr>
    </w:p>
  </w:endnote>
  <w:endnote w:id="11">
    <w:p>
      <w:pPr>
        <w:pStyle w:val="6"/>
        <w:numPr>
          <w:ilvl w:val="0"/>
          <w:numId w:val="0"/>
        </w:numPr>
        <w:ind w:left="541" w:leftChars="0" w:hanging="541" w:hangingChars="258"/>
        <w:jc w:val="both"/>
        <w:rPr>
          <w:color w:val="auto"/>
          <w:szCs w:val="21"/>
          <w:shd w:val="clear" w:color="auto" w:fill="auto"/>
        </w:rPr>
      </w:pPr>
      <w:r>
        <w:rPr>
          <w:rFonts w:hint="default"/>
          <w:color w:val="auto"/>
          <w:szCs w:val="21"/>
          <w:shd w:val="clear" w:color="auto" w:fill="auto"/>
          <w:vertAlign w:val="baseline"/>
          <w:lang w:val="en"/>
        </w:rPr>
        <w:t xml:space="preserve">[12] </w:t>
      </w:r>
      <w:r>
        <w:rPr>
          <w:color w:val="auto"/>
          <w:szCs w:val="21"/>
          <w:shd w:val="clear" w:color="auto" w:fill="auto"/>
          <w:vertAlign w:val="baseline"/>
        </w:rPr>
        <w:t xml:space="preserve">Burial depth of underground water in plain area means the distance between </w:t>
      </w:r>
      <w:r>
        <w:rPr>
          <w:rFonts w:hint="default"/>
          <w:color w:val="auto"/>
          <w:szCs w:val="21"/>
          <w:shd w:val="clear" w:color="auto" w:fill="auto"/>
          <w:vertAlign w:val="baseline"/>
          <w:lang w:val="en"/>
        </w:rPr>
        <w:t xml:space="preserve">  </w:t>
      </w:r>
      <w:r>
        <w:rPr>
          <w:color w:val="auto"/>
          <w:szCs w:val="21"/>
          <w:shd w:val="clear" w:color="auto" w:fill="auto"/>
          <w:vertAlign w:val="baseline"/>
        </w:rPr>
        <w:t>t</w:t>
      </w:r>
      <w:r>
        <w:rPr>
          <w:color w:val="auto"/>
          <w:szCs w:val="21"/>
          <w:shd w:val="clear" w:color="auto" w:fill="auto"/>
        </w:rPr>
        <w:t>he underground water level and the ground level of the plain area.</w:t>
      </w:r>
    </w:p>
    <w:p>
      <w:pPr>
        <w:pStyle w:val="6"/>
        <w:numPr>
          <w:ilvl w:val="0"/>
          <w:numId w:val="0"/>
        </w:numPr>
        <w:ind w:left="541" w:leftChars="0" w:hanging="541" w:hangingChars="258"/>
        <w:jc w:val="both"/>
        <w:rPr>
          <w:color w:val="auto"/>
          <w:szCs w:val="21"/>
          <w:shd w:val="clear" w:color="auto" w:fill="auto"/>
        </w:rPr>
      </w:pPr>
    </w:p>
    <w:p>
      <w:pPr>
        <w:pStyle w:val="6"/>
        <w:numPr>
          <w:ilvl w:val="0"/>
          <w:numId w:val="0"/>
        </w:numPr>
        <w:ind w:left="535" w:leftChars="0" w:hanging="535" w:hangingChars="255"/>
        <w:jc w:val="both"/>
        <w:rPr>
          <w:color w:val="auto"/>
          <w:szCs w:val="21"/>
          <w:shd w:val="clear" w:color="auto" w:fill="auto"/>
        </w:rPr>
      </w:pPr>
      <w:r>
        <w:rPr>
          <w:rFonts w:hint="default"/>
          <w:color w:val="auto"/>
          <w:szCs w:val="21"/>
          <w:shd w:val="clear" w:color="auto" w:fill="auto"/>
          <w:lang w:val="en"/>
        </w:rPr>
        <w:t>[13] A</w:t>
      </w:r>
      <w:r>
        <w:rPr>
          <w:color w:val="auto"/>
          <w:szCs w:val="21"/>
          <w:shd w:val="clear" w:color="auto" w:fill="auto"/>
        </w:rPr>
        <w:t>ccommodation and restaurants units above designated size refer to the</w:t>
      </w:r>
      <w:r>
        <w:rPr>
          <w:rFonts w:hint="default"/>
          <w:color w:val="auto"/>
          <w:szCs w:val="21"/>
          <w:shd w:val="clear" w:color="auto" w:fill="auto"/>
          <w:lang w:val="en"/>
        </w:rPr>
        <w:t xml:space="preserve"> </w:t>
      </w:r>
      <w:r>
        <w:rPr>
          <w:color w:val="auto"/>
          <w:szCs w:val="21"/>
          <w:shd w:val="clear" w:color="auto" w:fill="auto"/>
        </w:rPr>
        <w:t>accommodation units whose annual main business revenue reaches RMB 2 million and above, and the restaurants units whose annual main business revenue amounts to RMB 2 million and above (including legal entities, industrial activities units and self-employed households</w:t>
      </w:r>
      <w:r>
        <w:rPr>
          <w:rFonts w:hint="eastAsia"/>
          <w:color w:val="auto"/>
          <w:szCs w:val="21"/>
          <w:shd w:val="clear" w:color="auto" w:fill="auto"/>
        </w:rPr>
        <w:t>)</w:t>
      </w:r>
      <w:r>
        <w:rPr>
          <w:color w:val="auto"/>
          <w:szCs w:val="21"/>
          <w:shd w:val="clear" w:color="auto" w:fill="auto"/>
        </w:rPr>
        <w:t>.</w:t>
      </w:r>
    </w:p>
    <w:p>
      <w:pPr>
        <w:pStyle w:val="6"/>
        <w:rPr>
          <w:color w:val="auto"/>
          <w:szCs w:val="21"/>
          <w:shd w:val="clear" w:color="auto" w:fill="auto"/>
        </w:rPr>
      </w:pPr>
    </w:p>
    <w:p>
      <w:pPr>
        <w:pStyle w:val="6"/>
        <w:rPr>
          <w:color w:val="auto"/>
          <w:szCs w:val="21"/>
          <w:shd w:val="clear" w:color="auto" w:fill="auto"/>
        </w:rPr>
      </w:pPr>
    </w:p>
    <w:p>
      <w:pPr>
        <w:outlineLvl w:val="0"/>
        <w:rPr>
          <w:b/>
          <w:color w:val="auto"/>
          <w:szCs w:val="21"/>
          <w:shd w:val="clear" w:color="auto" w:fill="auto"/>
        </w:rPr>
      </w:pPr>
      <w:r>
        <w:rPr>
          <w:b/>
          <w:color w:val="auto"/>
          <w:szCs w:val="21"/>
          <w:shd w:val="clear" w:color="auto" w:fill="auto"/>
        </w:rPr>
        <w:t>Source of Statistics:</w:t>
      </w:r>
    </w:p>
    <w:p>
      <w:pPr>
        <w:rPr>
          <w:szCs w:val="21"/>
        </w:rPr>
      </w:pPr>
      <w:r>
        <w:rPr>
          <w:color w:val="auto"/>
          <w:szCs w:val="21"/>
          <w:shd w:val="clear" w:color="auto" w:fill="auto"/>
        </w:rPr>
        <w:t xml:space="preserve">Statistics on motor vehicles are from Beijing Traffic Management Bureau; statistics on mobile phone base stations are from Beijing Communications Administration; fiscal statistics are from Beijing Municipal </w:t>
      </w:r>
      <w:r>
        <w:rPr>
          <w:rFonts w:hint="eastAsia"/>
          <w:color w:val="auto"/>
          <w:szCs w:val="21"/>
          <w:shd w:val="clear" w:color="auto" w:fill="auto"/>
        </w:rPr>
        <w:t xml:space="preserve">Finance </w:t>
      </w:r>
      <w:r>
        <w:rPr>
          <w:color w:val="auto"/>
          <w:szCs w:val="21"/>
          <w:shd w:val="clear" w:color="auto" w:fill="auto"/>
        </w:rPr>
        <w:t xml:space="preserve">Bureau; statistics on deposits and loans are from Beijing Operations Office of the People’s Bank of China; </w:t>
      </w:r>
      <w:r>
        <w:rPr>
          <w:rFonts w:hint="eastAsia"/>
          <w:color w:val="auto"/>
          <w:szCs w:val="21"/>
          <w:shd w:val="clear" w:color="auto" w:fill="auto"/>
        </w:rPr>
        <w:t xml:space="preserve">statistics on securities turnover are from data </w:t>
      </w:r>
      <w:r>
        <w:rPr>
          <w:color w:val="auto"/>
          <w:szCs w:val="21"/>
          <w:shd w:val="clear" w:color="auto" w:fill="auto"/>
        </w:rPr>
        <w:t xml:space="preserve">of those </w:t>
      </w:r>
      <w:r>
        <w:rPr>
          <w:rFonts w:hint="eastAsia"/>
          <w:color w:val="auto"/>
          <w:szCs w:val="21"/>
          <w:shd w:val="clear" w:color="auto" w:fill="auto"/>
        </w:rPr>
        <w:t>listed on Shanghai Stock Exchange and Shenzhen Stock Exchange with Beijing as the place of registration;</w:t>
      </w:r>
      <w:r>
        <w:rPr>
          <w:color w:val="auto"/>
          <w:szCs w:val="21"/>
          <w:shd w:val="clear" w:color="auto" w:fill="auto"/>
        </w:rPr>
        <w:t xml:space="preserve"> statistics on Beijing Stock Exchange are from the official website of Beijing Stock Exchange; statistics on insurance are from Beijing </w:t>
      </w:r>
      <w:r>
        <w:rPr>
          <w:rFonts w:hint="eastAsia"/>
          <w:color w:val="auto"/>
          <w:szCs w:val="21"/>
          <w:shd w:val="clear" w:color="auto" w:fill="auto"/>
        </w:rPr>
        <w:t>Office</w:t>
      </w:r>
      <w:r>
        <w:rPr>
          <w:color w:val="auto"/>
          <w:szCs w:val="21"/>
          <w:shd w:val="clear" w:color="auto" w:fill="auto"/>
        </w:rPr>
        <w:t xml:space="preserve"> of China Banking and Insurance Regulatory Commission; statistics on import and export are from Beijing Customs</w:t>
      </w:r>
      <w:r>
        <w:rPr>
          <w:rFonts w:hint="eastAsia"/>
          <w:color w:val="auto"/>
          <w:szCs w:val="21"/>
          <w:shd w:val="clear" w:color="auto" w:fill="auto"/>
        </w:rPr>
        <w:t xml:space="preserve"> District P.R. China</w:t>
      </w:r>
      <w:r>
        <w:rPr>
          <w:color w:val="auto"/>
          <w:szCs w:val="21"/>
          <w:shd w:val="clear" w:color="auto" w:fill="auto"/>
        </w:rPr>
        <w:t xml:space="preserve">; statistics on foreign investment in actual use, overseas investment, contracted foreign projects and foreign labor cooperation are from Beijing Municipal Commerce Bureau; statistics on road construction and public transportation are from Beijing Municipal Commission of Transport; statistics on tap water sales, water resources and sewage treatment are from Beijing Water Authority; statistics on electricity generation </w:t>
      </w:r>
      <w:r>
        <w:rPr>
          <w:rFonts w:hint="eastAsia"/>
          <w:color w:val="auto"/>
          <w:szCs w:val="21"/>
          <w:shd w:val="clear" w:color="auto" w:fill="auto"/>
        </w:rPr>
        <w:t xml:space="preserve">and </w:t>
      </w:r>
      <w:r>
        <w:rPr>
          <w:color w:val="auto"/>
          <w:szCs w:val="21"/>
          <w:shd w:val="clear" w:color="auto" w:fill="auto"/>
        </w:rPr>
        <w:t>use</w:t>
      </w:r>
      <w:r>
        <w:rPr>
          <w:rFonts w:hint="eastAsia"/>
          <w:color w:val="auto"/>
          <w:szCs w:val="21"/>
          <w:shd w:val="clear" w:color="auto" w:fill="auto"/>
        </w:rPr>
        <w:t xml:space="preserve"> </w:t>
      </w:r>
      <w:r>
        <w:rPr>
          <w:color w:val="auto"/>
          <w:szCs w:val="21"/>
          <w:shd w:val="clear" w:color="auto" w:fill="auto"/>
        </w:rPr>
        <w:t xml:space="preserve">are from STATE GRID Beijing Electric Power Company; statistics on liquefied petroleum gas and natural gas supply, gas-accessed households, gas pipelines and areas covered by centralized heating and garbage disposal are from Beijing Municipal Commission of Urban Management; statistics on safety production are from Beijing Emergency Management Bureau; statistics on medical insurance and maternity insurance are from Beijing Municipal Medical </w:t>
      </w:r>
      <w:r>
        <w:rPr>
          <w:rFonts w:hint="eastAsia"/>
          <w:color w:val="auto"/>
          <w:szCs w:val="21"/>
          <w:shd w:val="clear" w:color="auto" w:fill="auto"/>
        </w:rPr>
        <w:t>Insurance</w:t>
      </w:r>
      <w:r>
        <w:rPr>
          <w:color w:val="auto"/>
          <w:szCs w:val="21"/>
          <w:shd w:val="clear" w:color="auto" w:fill="auto"/>
        </w:rPr>
        <w:t xml:space="preserve"> Bureau; statistics on other social security and newly increased urban employment are from Beijing Municipal Human Resources and Social Security Bureau; statistics on subsistence allowance institutions and agencies providing accommodation are from Social Work Committee of Beijing Municipal Committee of the Communist Party of Chi</w:t>
      </w:r>
      <w:r>
        <w:rPr>
          <w:rFonts w:hint="eastAsia"/>
          <w:color w:val="auto"/>
          <w:szCs w:val="21"/>
          <w:shd w:val="clear" w:color="auto" w:fill="auto"/>
        </w:rPr>
        <w:t>n</w:t>
      </w:r>
      <w:r>
        <w:rPr>
          <w:color w:val="auto"/>
          <w:szCs w:val="21"/>
          <w:shd w:val="clear" w:color="auto" w:fill="auto"/>
        </w:rPr>
        <w:t xml:space="preserve">a </w:t>
      </w:r>
      <w:r>
        <w:rPr>
          <w:rFonts w:hint="eastAsia"/>
          <w:color w:val="auto"/>
          <w:szCs w:val="21"/>
          <w:shd w:val="clear" w:color="auto" w:fill="auto"/>
        </w:rPr>
        <w:t xml:space="preserve">and </w:t>
      </w:r>
      <w:r>
        <w:rPr>
          <w:color w:val="auto"/>
          <w:szCs w:val="21"/>
          <w:shd w:val="clear" w:color="auto" w:fill="auto"/>
        </w:rPr>
        <w:t>Beijing Municipal Civil Affairs</w:t>
      </w:r>
      <w:r>
        <w:rPr>
          <w:rFonts w:hint="eastAsia"/>
          <w:color w:val="auto"/>
          <w:szCs w:val="21"/>
          <w:shd w:val="clear" w:color="auto" w:fill="auto"/>
        </w:rPr>
        <w:t xml:space="preserve"> </w:t>
      </w:r>
      <w:r>
        <w:rPr>
          <w:color w:val="auto"/>
          <w:szCs w:val="21"/>
          <w:shd w:val="clear" w:color="auto" w:fill="auto"/>
        </w:rPr>
        <w:t>Bureau; statistics on education are from Beijing Municipal Education Commission; statistics on patents are from Beijing Municipal Intellectual Property Office; statistics on technology market are from Beijing Technology Market Management Office; statistics on public libraries</w:t>
      </w:r>
      <w:r>
        <w:rPr>
          <w:rFonts w:hint="eastAsia"/>
          <w:color w:val="auto"/>
          <w:szCs w:val="21"/>
          <w:shd w:val="clear" w:color="auto" w:fill="auto"/>
        </w:rPr>
        <w:t>,</w:t>
      </w:r>
      <w:r>
        <w:rPr>
          <w:color w:val="auto"/>
          <w:szCs w:val="21"/>
          <w:shd w:val="clear" w:color="auto" w:fill="auto"/>
        </w:rPr>
        <w:t xml:space="preserve"> cultural centers</w:t>
      </w:r>
      <w:r>
        <w:rPr>
          <w:rFonts w:hint="eastAsia"/>
          <w:color w:val="auto"/>
          <w:szCs w:val="21"/>
          <w:shd w:val="clear" w:color="auto" w:fill="auto"/>
        </w:rPr>
        <w:t xml:space="preserve"> </w:t>
      </w:r>
      <w:r>
        <w:rPr>
          <w:color w:val="auto"/>
          <w:szCs w:val="21"/>
          <w:shd w:val="clear" w:color="auto" w:fill="auto"/>
        </w:rPr>
        <w:t>and tourism</w:t>
      </w:r>
      <w:r>
        <w:rPr>
          <w:rFonts w:hint="eastAsia"/>
          <w:color w:val="auto"/>
          <w:szCs w:val="21"/>
          <w:shd w:val="clear" w:color="auto" w:fill="auto"/>
        </w:rPr>
        <w:t>,</w:t>
      </w:r>
      <w:r>
        <w:rPr>
          <w:color w:val="auto"/>
          <w:szCs w:val="21"/>
          <w:shd w:val="clear" w:color="auto" w:fill="auto"/>
        </w:rPr>
        <w:t xml:space="preserve"> are from Beijing Municipal Bureau of Culture</w:t>
      </w:r>
      <w:r>
        <w:rPr>
          <w:rFonts w:hint="eastAsia"/>
          <w:color w:val="auto"/>
          <w:szCs w:val="21"/>
          <w:shd w:val="clear" w:color="auto" w:fill="auto"/>
        </w:rPr>
        <w:t xml:space="preserve"> and Tourism</w:t>
      </w:r>
      <w:r>
        <w:rPr>
          <w:color w:val="auto"/>
          <w:szCs w:val="21"/>
          <w:shd w:val="clear" w:color="auto" w:fill="auto"/>
        </w:rPr>
        <w:t xml:space="preserve"> and National Library of China; statistics on archives are from Beijing Municipal Bureau of Archives; statistics on museums are from Beijing Municipal Cultural </w:t>
      </w:r>
      <w:r>
        <w:rPr>
          <w:rFonts w:hint="eastAsia"/>
          <w:color w:val="auto"/>
          <w:szCs w:val="21"/>
          <w:shd w:val="clear" w:color="auto" w:fill="auto"/>
        </w:rPr>
        <w:t>Heritage</w:t>
      </w:r>
      <w:r>
        <w:rPr>
          <w:color w:val="auto"/>
          <w:szCs w:val="21"/>
          <w:shd w:val="clear" w:color="auto" w:fill="auto"/>
        </w:rPr>
        <w:t xml:space="preserve"> Bureau; statistics on publication are from Beijing Municipal Bureau of Press and Publication; </w:t>
      </w:r>
      <w:r>
        <w:rPr>
          <w:rFonts w:hint="eastAsia"/>
          <w:color w:val="auto"/>
          <w:szCs w:val="21"/>
          <w:shd w:val="clear" w:color="auto" w:fill="auto"/>
        </w:rPr>
        <w:t>statistics on television are from Beijing Municipal Radio and Television Bureau;</w:t>
      </w:r>
      <w:r>
        <w:rPr>
          <w:color w:val="auto"/>
          <w:szCs w:val="21"/>
          <w:shd w:val="clear" w:color="auto" w:fill="auto"/>
        </w:rPr>
        <w:t xml:space="preserve"> statistics on</w:t>
      </w:r>
      <w:r>
        <w:rPr>
          <w:rFonts w:hint="eastAsia"/>
          <w:color w:val="auto"/>
          <w:szCs w:val="21"/>
          <w:shd w:val="clear" w:color="auto" w:fill="auto"/>
        </w:rPr>
        <w:t xml:space="preserve"> films </w:t>
      </w:r>
      <w:r>
        <w:rPr>
          <w:color w:val="auto"/>
          <w:szCs w:val="21"/>
          <w:shd w:val="clear" w:color="auto" w:fill="auto"/>
        </w:rPr>
        <w:t>are from Beijing Municipal</w:t>
      </w:r>
      <w:r>
        <w:rPr>
          <w:rFonts w:hint="eastAsia"/>
          <w:color w:val="auto"/>
          <w:szCs w:val="21"/>
          <w:shd w:val="clear" w:color="auto" w:fill="auto"/>
        </w:rPr>
        <w:t xml:space="preserve"> Film Administration; </w:t>
      </w:r>
      <w:r>
        <w:rPr>
          <w:color w:val="auto"/>
          <w:szCs w:val="21"/>
          <w:shd w:val="clear" w:color="auto" w:fill="auto"/>
        </w:rPr>
        <w:t xml:space="preserve">statistics on healthcare are from Beijing Municipal </w:t>
      </w:r>
      <w:r>
        <w:rPr>
          <w:rFonts w:hint="eastAsia"/>
          <w:color w:val="auto"/>
          <w:szCs w:val="21"/>
          <w:shd w:val="clear" w:color="auto" w:fill="auto"/>
        </w:rPr>
        <w:t xml:space="preserve">Health </w:t>
      </w:r>
      <w:r>
        <w:rPr>
          <w:color w:val="auto"/>
          <w:szCs w:val="21"/>
          <w:shd w:val="clear" w:color="auto" w:fill="auto"/>
        </w:rPr>
        <w:t xml:space="preserve">Commission; statistics on athletes are from Beijing Municipal Bureau of Sports; statistics on athletes with disabilities are from Beijing Disabled Persons’ Federation; statistics on construction land supply are from Beijing Municipal Commission of Planning and </w:t>
      </w:r>
      <w:r>
        <w:rPr>
          <w:rFonts w:hint="eastAsia"/>
          <w:color w:val="auto"/>
          <w:szCs w:val="21"/>
          <w:shd w:val="clear" w:color="auto" w:fill="auto"/>
        </w:rPr>
        <w:t>Natural</w:t>
      </w:r>
      <w:r>
        <w:rPr>
          <w:color w:val="auto"/>
          <w:szCs w:val="21"/>
          <w:shd w:val="clear" w:color="auto" w:fill="auto"/>
        </w:rPr>
        <w:t xml:space="preserve"> Resources; statistics on air quality are from Beijing Municipal </w:t>
      </w:r>
      <w:r>
        <w:rPr>
          <w:rFonts w:hint="eastAsia"/>
          <w:color w:val="auto"/>
          <w:szCs w:val="21"/>
          <w:shd w:val="clear" w:color="auto" w:fill="auto"/>
        </w:rPr>
        <w:t xml:space="preserve">Ecology and </w:t>
      </w:r>
      <w:r>
        <w:rPr>
          <w:color w:val="auto"/>
          <w:szCs w:val="21"/>
          <w:shd w:val="clear" w:color="auto" w:fill="auto"/>
        </w:rPr>
        <w:t>Environment</w:t>
      </w:r>
      <w:r>
        <w:rPr>
          <w:rFonts w:hint="eastAsia"/>
          <w:color w:val="auto"/>
          <w:szCs w:val="21"/>
          <w:shd w:val="clear" w:color="auto" w:fill="auto"/>
        </w:rPr>
        <w:t xml:space="preserve"> Bureau</w:t>
      </w:r>
      <w:r>
        <w:rPr>
          <w:color w:val="auto"/>
          <w:szCs w:val="21"/>
          <w:shd w:val="clear" w:color="auto" w:fill="auto"/>
        </w:rPr>
        <w:t>; statistics on afforestation and landscaping are from Beijing Municipal Forestry and Parks Bureau; other statistics are from Beijing Mu</w:t>
      </w:r>
      <w:r>
        <w:rPr>
          <w:szCs w:val="21"/>
        </w:rPr>
        <w:t>nicipal Bureau of Statistics and NBS Survey Office in Beijing.</w:t>
      </w:r>
    </w:p>
    <w:p>
      <w:pPr>
        <w:pStyle w:val="6"/>
        <w:rPr>
          <w:szCs w:val="21"/>
        </w:rPr>
      </w:pPr>
    </w:p>
    <w:p>
      <w:pPr>
        <w:pStyle w:val="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10" w:usb3="00000000" w:csb0="0000019F"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楷体_GB2312">
    <w:panose1 w:val="02010609030101010101"/>
    <w:charset w:val="86"/>
    <w:family w:val="modern"/>
    <w:pitch w:val="default"/>
    <w:sig w:usb0="00000001" w:usb1="080E0000" w:usb2="00000000" w:usb3="00000000" w:csb0="00040000" w:csb1="00000000"/>
  </w:font>
  <w:font w:name="Calibri">
    <w:altName w:val="DejaVu Sans"/>
    <w:panose1 w:val="020F0502020204030204"/>
    <w:charset w:val="01"/>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80"/>
      <w:jc w:val="right"/>
      <w:rPr>
        <w:sz w:val="21"/>
        <w:szCs w:val="21"/>
      </w:rPr>
    </w:pPr>
    <w:r>
      <w:rPr>
        <w:sz w:val="21"/>
        <w:szCs w:val="21"/>
      </w:rPr>
      <w:t>-</w:t>
    </w: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29</w:t>
    </w:r>
    <w:r>
      <w:rPr>
        <w:sz w:val="21"/>
        <w:szCs w:val="21"/>
      </w:rPr>
      <w:fldChar w:fldCharType="end"/>
    </w:r>
    <w:r>
      <w:rPr>
        <w:sz w:val="21"/>
        <w:szCs w:val="21"/>
      </w:rPr>
      <w:t>-</w:t>
    </w:r>
  </w:p>
  <w:p>
    <w:pPr>
      <w:pStyle w:val="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1"/>
        <w:szCs w:val="21"/>
      </w:rPr>
    </w:pPr>
    <w:r>
      <w:rPr>
        <w:sz w:val="21"/>
        <w:szCs w:val="21"/>
      </w:rPr>
      <w:t>-</w:t>
    </w: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30</w:t>
    </w:r>
    <w:r>
      <w:rPr>
        <w:sz w:val="21"/>
        <w:szCs w:val="21"/>
      </w:rPr>
      <w:fldChar w:fldCharType="end"/>
    </w:r>
    <w:r>
      <w:rPr>
        <w:sz w:val="21"/>
        <w:szCs w:val="21"/>
      </w:rPr>
      <w:t>-</w: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endnotePr>
    <w:numFmt w:val="decimal"/>
    <w:endnote w:id="24"/>
    <w:endnote w:id="25"/>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I3MzZjYTg1YWJiMWQwNjAwYWUyNjU0MTE0ZGU1MjcifQ=="/>
  </w:docVars>
  <w:rsids>
    <w:rsidRoot w:val="00C8087B"/>
    <w:rsid w:val="00001571"/>
    <w:rsid w:val="00004D31"/>
    <w:rsid w:val="00005565"/>
    <w:rsid w:val="000100CF"/>
    <w:rsid w:val="00013047"/>
    <w:rsid w:val="0001429A"/>
    <w:rsid w:val="00014AAF"/>
    <w:rsid w:val="000162C3"/>
    <w:rsid w:val="00016802"/>
    <w:rsid w:val="00020456"/>
    <w:rsid w:val="0002072C"/>
    <w:rsid w:val="0002096B"/>
    <w:rsid w:val="0002162B"/>
    <w:rsid w:val="0002257D"/>
    <w:rsid w:val="00024AD2"/>
    <w:rsid w:val="00024D9C"/>
    <w:rsid w:val="000262C4"/>
    <w:rsid w:val="000267B9"/>
    <w:rsid w:val="00026BE5"/>
    <w:rsid w:val="0003036D"/>
    <w:rsid w:val="00030618"/>
    <w:rsid w:val="00031E0D"/>
    <w:rsid w:val="000322A5"/>
    <w:rsid w:val="00032BF0"/>
    <w:rsid w:val="0003301D"/>
    <w:rsid w:val="00033204"/>
    <w:rsid w:val="00033663"/>
    <w:rsid w:val="00036447"/>
    <w:rsid w:val="00036877"/>
    <w:rsid w:val="000373C5"/>
    <w:rsid w:val="00037541"/>
    <w:rsid w:val="00040A4B"/>
    <w:rsid w:val="000415D9"/>
    <w:rsid w:val="000509BF"/>
    <w:rsid w:val="00051321"/>
    <w:rsid w:val="00052B6F"/>
    <w:rsid w:val="00054954"/>
    <w:rsid w:val="0005500C"/>
    <w:rsid w:val="00055F42"/>
    <w:rsid w:val="00056A40"/>
    <w:rsid w:val="00056FE0"/>
    <w:rsid w:val="0005774C"/>
    <w:rsid w:val="00065284"/>
    <w:rsid w:val="00065316"/>
    <w:rsid w:val="0006672D"/>
    <w:rsid w:val="00066B92"/>
    <w:rsid w:val="00071B49"/>
    <w:rsid w:val="0007268E"/>
    <w:rsid w:val="00072C5F"/>
    <w:rsid w:val="00074240"/>
    <w:rsid w:val="000776BE"/>
    <w:rsid w:val="0008048E"/>
    <w:rsid w:val="0008315E"/>
    <w:rsid w:val="00084288"/>
    <w:rsid w:val="00084712"/>
    <w:rsid w:val="000856B3"/>
    <w:rsid w:val="00086D57"/>
    <w:rsid w:val="00092E4D"/>
    <w:rsid w:val="0009460D"/>
    <w:rsid w:val="0009729A"/>
    <w:rsid w:val="000A04E0"/>
    <w:rsid w:val="000A115C"/>
    <w:rsid w:val="000A1436"/>
    <w:rsid w:val="000A16EC"/>
    <w:rsid w:val="000A29C3"/>
    <w:rsid w:val="000A4773"/>
    <w:rsid w:val="000A69CE"/>
    <w:rsid w:val="000A7890"/>
    <w:rsid w:val="000A7E54"/>
    <w:rsid w:val="000B06DC"/>
    <w:rsid w:val="000B24A8"/>
    <w:rsid w:val="000B3F3B"/>
    <w:rsid w:val="000B6237"/>
    <w:rsid w:val="000B7766"/>
    <w:rsid w:val="000B7D21"/>
    <w:rsid w:val="000C094F"/>
    <w:rsid w:val="000C2971"/>
    <w:rsid w:val="000C423E"/>
    <w:rsid w:val="000C4A35"/>
    <w:rsid w:val="000C5D66"/>
    <w:rsid w:val="000C6311"/>
    <w:rsid w:val="000C7FC7"/>
    <w:rsid w:val="000D0503"/>
    <w:rsid w:val="000D0992"/>
    <w:rsid w:val="000D567A"/>
    <w:rsid w:val="000D7AA2"/>
    <w:rsid w:val="000E06BD"/>
    <w:rsid w:val="000E169F"/>
    <w:rsid w:val="000E1DF8"/>
    <w:rsid w:val="000E1F29"/>
    <w:rsid w:val="000E1F8B"/>
    <w:rsid w:val="000E23E6"/>
    <w:rsid w:val="000E513B"/>
    <w:rsid w:val="000E52F5"/>
    <w:rsid w:val="000E59E4"/>
    <w:rsid w:val="000E5AE1"/>
    <w:rsid w:val="000E6FA0"/>
    <w:rsid w:val="000E7379"/>
    <w:rsid w:val="000F0360"/>
    <w:rsid w:val="000F13D8"/>
    <w:rsid w:val="000F1C70"/>
    <w:rsid w:val="000F2419"/>
    <w:rsid w:val="000F2C08"/>
    <w:rsid w:val="000F30EB"/>
    <w:rsid w:val="000F51DA"/>
    <w:rsid w:val="000F6285"/>
    <w:rsid w:val="000F6F27"/>
    <w:rsid w:val="000F712D"/>
    <w:rsid w:val="000F74A9"/>
    <w:rsid w:val="00101061"/>
    <w:rsid w:val="00101242"/>
    <w:rsid w:val="00101373"/>
    <w:rsid w:val="0010212F"/>
    <w:rsid w:val="00105185"/>
    <w:rsid w:val="001055EB"/>
    <w:rsid w:val="001058CB"/>
    <w:rsid w:val="00105BB5"/>
    <w:rsid w:val="001069C5"/>
    <w:rsid w:val="001105BB"/>
    <w:rsid w:val="001110B8"/>
    <w:rsid w:val="0011133E"/>
    <w:rsid w:val="00112EF0"/>
    <w:rsid w:val="00113797"/>
    <w:rsid w:val="00115862"/>
    <w:rsid w:val="00116C58"/>
    <w:rsid w:val="00116E10"/>
    <w:rsid w:val="00117300"/>
    <w:rsid w:val="001211A8"/>
    <w:rsid w:val="00122342"/>
    <w:rsid w:val="00122B54"/>
    <w:rsid w:val="00122B83"/>
    <w:rsid w:val="001235BA"/>
    <w:rsid w:val="00124989"/>
    <w:rsid w:val="001259AF"/>
    <w:rsid w:val="00126D50"/>
    <w:rsid w:val="0012775C"/>
    <w:rsid w:val="0013117E"/>
    <w:rsid w:val="00131B49"/>
    <w:rsid w:val="00132EE6"/>
    <w:rsid w:val="00135132"/>
    <w:rsid w:val="00135D28"/>
    <w:rsid w:val="00135F33"/>
    <w:rsid w:val="00140FFC"/>
    <w:rsid w:val="0014279E"/>
    <w:rsid w:val="00142F0B"/>
    <w:rsid w:val="001432E5"/>
    <w:rsid w:val="00143DB1"/>
    <w:rsid w:val="0014558D"/>
    <w:rsid w:val="001477DB"/>
    <w:rsid w:val="00151D9A"/>
    <w:rsid w:val="00153CD2"/>
    <w:rsid w:val="00153FAC"/>
    <w:rsid w:val="00153FF1"/>
    <w:rsid w:val="00154D7D"/>
    <w:rsid w:val="00156008"/>
    <w:rsid w:val="00161260"/>
    <w:rsid w:val="00161DE2"/>
    <w:rsid w:val="0016366C"/>
    <w:rsid w:val="001639DD"/>
    <w:rsid w:val="0016456A"/>
    <w:rsid w:val="00166556"/>
    <w:rsid w:val="0016721C"/>
    <w:rsid w:val="0017092A"/>
    <w:rsid w:val="00174642"/>
    <w:rsid w:val="00180CF4"/>
    <w:rsid w:val="001838A1"/>
    <w:rsid w:val="00184301"/>
    <w:rsid w:val="001870C0"/>
    <w:rsid w:val="0019240A"/>
    <w:rsid w:val="00192827"/>
    <w:rsid w:val="00192C95"/>
    <w:rsid w:val="0019378F"/>
    <w:rsid w:val="00195B1B"/>
    <w:rsid w:val="00196287"/>
    <w:rsid w:val="001A0A31"/>
    <w:rsid w:val="001A13BD"/>
    <w:rsid w:val="001A2D5A"/>
    <w:rsid w:val="001A2FBC"/>
    <w:rsid w:val="001A3336"/>
    <w:rsid w:val="001A3867"/>
    <w:rsid w:val="001A5AEA"/>
    <w:rsid w:val="001A6541"/>
    <w:rsid w:val="001A6710"/>
    <w:rsid w:val="001A6DB9"/>
    <w:rsid w:val="001A783D"/>
    <w:rsid w:val="001A7C4B"/>
    <w:rsid w:val="001B03DC"/>
    <w:rsid w:val="001B06CC"/>
    <w:rsid w:val="001B12A9"/>
    <w:rsid w:val="001B1AA5"/>
    <w:rsid w:val="001B2781"/>
    <w:rsid w:val="001B2A2B"/>
    <w:rsid w:val="001B33BD"/>
    <w:rsid w:val="001B58C3"/>
    <w:rsid w:val="001C442C"/>
    <w:rsid w:val="001C44EA"/>
    <w:rsid w:val="001C640E"/>
    <w:rsid w:val="001C78EA"/>
    <w:rsid w:val="001D030C"/>
    <w:rsid w:val="001D0475"/>
    <w:rsid w:val="001D0A25"/>
    <w:rsid w:val="001D106D"/>
    <w:rsid w:val="001D1413"/>
    <w:rsid w:val="001D2103"/>
    <w:rsid w:val="001D30E1"/>
    <w:rsid w:val="001D36A6"/>
    <w:rsid w:val="001D3B0D"/>
    <w:rsid w:val="001D3FC6"/>
    <w:rsid w:val="001D44B0"/>
    <w:rsid w:val="001E01FE"/>
    <w:rsid w:val="001E14A2"/>
    <w:rsid w:val="001E2F12"/>
    <w:rsid w:val="001E3572"/>
    <w:rsid w:val="001E3CED"/>
    <w:rsid w:val="001E4910"/>
    <w:rsid w:val="001E5204"/>
    <w:rsid w:val="001E58DD"/>
    <w:rsid w:val="001E5A48"/>
    <w:rsid w:val="001E5EC6"/>
    <w:rsid w:val="001F0EE9"/>
    <w:rsid w:val="001F247D"/>
    <w:rsid w:val="001F310F"/>
    <w:rsid w:val="001F385E"/>
    <w:rsid w:val="001F50A5"/>
    <w:rsid w:val="001F5B8C"/>
    <w:rsid w:val="001F67F9"/>
    <w:rsid w:val="001F7629"/>
    <w:rsid w:val="00200AC2"/>
    <w:rsid w:val="00203A57"/>
    <w:rsid w:val="00203C4A"/>
    <w:rsid w:val="002052CA"/>
    <w:rsid w:val="00207181"/>
    <w:rsid w:val="00210516"/>
    <w:rsid w:val="00210F88"/>
    <w:rsid w:val="002128FE"/>
    <w:rsid w:val="00212F9F"/>
    <w:rsid w:val="002132B8"/>
    <w:rsid w:val="00213B78"/>
    <w:rsid w:val="00215013"/>
    <w:rsid w:val="00215DDD"/>
    <w:rsid w:val="0021637C"/>
    <w:rsid w:val="00220745"/>
    <w:rsid w:val="0022232F"/>
    <w:rsid w:val="00224851"/>
    <w:rsid w:val="00225932"/>
    <w:rsid w:val="0022654D"/>
    <w:rsid w:val="00226EDA"/>
    <w:rsid w:val="002276BB"/>
    <w:rsid w:val="00230AE7"/>
    <w:rsid w:val="002310B5"/>
    <w:rsid w:val="0023166A"/>
    <w:rsid w:val="00231B70"/>
    <w:rsid w:val="0023225F"/>
    <w:rsid w:val="00232440"/>
    <w:rsid w:val="0023370B"/>
    <w:rsid w:val="00234433"/>
    <w:rsid w:val="00235514"/>
    <w:rsid w:val="002368CD"/>
    <w:rsid w:val="002377C8"/>
    <w:rsid w:val="00237949"/>
    <w:rsid w:val="00240E2E"/>
    <w:rsid w:val="0024276C"/>
    <w:rsid w:val="00252CC6"/>
    <w:rsid w:val="002541D4"/>
    <w:rsid w:val="002547FE"/>
    <w:rsid w:val="002568E8"/>
    <w:rsid w:val="00261820"/>
    <w:rsid w:val="002619D3"/>
    <w:rsid w:val="0026261D"/>
    <w:rsid w:val="0026270E"/>
    <w:rsid w:val="002632F2"/>
    <w:rsid w:val="0026480F"/>
    <w:rsid w:val="00267453"/>
    <w:rsid w:val="002677E3"/>
    <w:rsid w:val="0027104A"/>
    <w:rsid w:val="00271D50"/>
    <w:rsid w:val="00273B0F"/>
    <w:rsid w:val="002753E7"/>
    <w:rsid w:val="00276236"/>
    <w:rsid w:val="002767EF"/>
    <w:rsid w:val="002767FF"/>
    <w:rsid w:val="00280A4E"/>
    <w:rsid w:val="00280E65"/>
    <w:rsid w:val="00282BF2"/>
    <w:rsid w:val="00283722"/>
    <w:rsid w:val="00284015"/>
    <w:rsid w:val="00285651"/>
    <w:rsid w:val="0028770A"/>
    <w:rsid w:val="00287BDB"/>
    <w:rsid w:val="00291AA9"/>
    <w:rsid w:val="0029277B"/>
    <w:rsid w:val="00293609"/>
    <w:rsid w:val="002957FB"/>
    <w:rsid w:val="00296698"/>
    <w:rsid w:val="00296F05"/>
    <w:rsid w:val="00297689"/>
    <w:rsid w:val="002A0A07"/>
    <w:rsid w:val="002A16A7"/>
    <w:rsid w:val="002A2C41"/>
    <w:rsid w:val="002A3CE0"/>
    <w:rsid w:val="002A645E"/>
    <w:rsid w:val="002A6A7A"/>
    <w:rsid w:val="002A72FB"/>
    <w:rsid w:val="002A74D2"/>
    <w:rsid w:val="002B4466"/>
    <w:rsid w:val="002B55A9"/>
    <w:rsid w:val="002B6F82"/>
    <w:rsid w:val="002C3C22"/>
    <w:rsid w:val="002C3F9E"/>
    <w:rsid w:val="002C3FD0"/>
    <w:rsid w:val="002C4099"/>
    <w:rsid w:val="002C4553"/>
    <w:rsid w:val="002C4C58"/>
    <w:rsid w:val="002C4E0E"/>
    <w:rsid w:val="002C54B8"/>
    <w:rsid w:val="002D05F2"/>
    <w:rsid w:val="002D1141"/>
    <w:rsid w:val="002D2E1F"/>
    <w:rsid w:val="002D5447"/>
    <w:rsid w:val="002D58E5"/>
    <w:rsid w:val="002D6F12"/>
    <w:rsid w:val="002E4573"/>
    <w:rsid w:val="002F1556"/>
    <w:rsid w:val="002F1AE9"/>
    <w:rsid w:val="002F20BE"/>
    <w:rsid w:val="002F2D8A"/>
    <w:rsid w:val="003008D5"/>
    <w:rsid w:val="003015E2"/>
    <w:rsid w:val="00301BC2"/>
    <w:rsid w:val="003023F3"/>
    <w:rsid w:val="0030314D"/>
    <w:rsid w:val="00303BDC"/>
    <w:rsid w:val="003127D7"/>
    <w:rsid w:val="0031384F"/>
    <w:rsid w:val="00313F3C"/>
    <w:rsid w:val="0031438F"/>
    <w:rsid w:val="00314609"/>
    <w:rsid w:val="00316877"/>
    <w:rsid w:val="00316B31"/>
    <w:rsid w:val="00317E52"/>
    <w:rsid w:val="0032052F"/>
    <w:rsid w:val="00321362"/>
    <w:rsid w:val="00321A70"/>
    <w:rsid w:val="00321FDE"/>
    <w:rsid w:val="003257C0"/>
    <w:rsid w:val="00325B93"/>
    <w:rsid w:val="00327CA6"/>
    <w:rsid w:val="0033137A"/>
    <w:rsid w:val="0033168A"/>
    <w:rsid w:val="003324FC"/>
    <w:rsid w:val="003328E2"/>
    <w:rsid w:val="00333705"/>
    <w:rsid w:val="00333804"/>
    <w:rsid w:val="0033461D"/>
    <w:rsid w:val="00334E3B"/>
    <w:rsid w:val="00337211"/>
    <w:rsid w:val="00337837"/>
    <w:rsid w:val="0034028A"/>
    <w:rsid w:val="0034088D"/>
    <w:rsid w:val="0034142F"/>
    <w:rsid w:val="00341471"/>
    <w:rsid w:val="00341A03"/>
    <w:rsid w:val="003426E8"/>
    <w:rsid w:val="0034287E"/>
    <w:rsid w:val="00342B8F"/>
    <w:rsid w:val="00342CF3"/>
    <w:rsid w:val="00343D9B"/>
    <w:rsid w:val="0034439B"/>
    <w:rsid w:val="00344FE7"/>
    <w:rsid w:val="00345113"/>
    <w:rsid w:val="0034524A"/>
    <w:rsid w:val="00345372"/>
    <w:rsid w:val="003467FF"/>
    <w:rsid w:val="00350F40"/>
    <w:rsid w:val="00352F08"/>
    <w:rsid w:val="003536E6"/>
    <w:rsid w:val="00354CF9"/>
    <w:rsid w:val="00355B6B"/>
    <w:rsid w:val="00361CF4"/>
    <w:rsid w:val="00362469"/>
    <w:rsid w:val="003625D7"/>
    <w:rsid w:val="0036279A"/>
    <w:rsid w:val="00362DA7"/>
    <w:rsid w:val="003653B5"/>
    <w:rsid w:val="00366F8B"/>
    <w:rsid w:val="003710DF"/>
    <w:rsid w:val="00372551"/>
    <w:rsid w:val="00372F06"/>
    <w:rsid w:val="003739A2"/>
    <w:rsid w:val="003752EA"/>
    <w:rsid w:val="00375845"/>
    <w:rsid w:val="003769F5"/>
    <w:rsid w:val="00381D4A"/>
    <w:rsid w:val="00384B13"/>
    <w:rsid w:val="003855B4"/>
    <w:rsid w:val="0038639A"/>
    <w:rsid w:val="00386CF2"/>
    <w:rsid w:val="00393E79"/>
    <w:rsid w:val="00395DDD"/>
    <w:rsid w:val="00396046"/>
    <w:rsid w:val="003964BE"/>
    <w:rsid w:val="003A42CF"/>
    <w:rsid w:val="003A7F35"/>
    <w:rsid w:val="003B00F9"/>
    <w:rsid w:val="003B2EEF"/>
    <w:rsid w:val="003B2F03"/>
    <w:rsid w:val="003B30A9"/>
    <w:rsid w:val="003B5CD6"/>
    <w:rsid w:val="003B5CDB"/>
    <w:rsid w:val="003B71DE"/>
    <w:rsid w:val="003C26EF"/>
    <w:rsid w:val="003C2A34"/>
    <w:rsid w:val="003C4D58"/>
    <w:rsid w:val="003C5668"/>
    <w:rsid w:val="003C6E45"/>
    <w:rsid w:val="003C71E7"/>
    <w:rsid w:val="003C7F4F"/>
    <w:rsid w:val="003D05D8"/>
    <w:rsid w:val="003D0D89"/>
    <w:rsid w:val="003D2553"/>
    <w:rsid w:val="003D3948"/>
    <w:rsid w:val="003D3ACF"/>
    <w:rsid w:val="003D3F67"/>
    <w:rsid w:val="003D45D1"/>
    <w:rsid w:val="003D4EB0"/>
    <w:rsid w:val="003D60BD"/>
    <w:rsid w:val="003D6F9B"/>
    <w:rsid w:val="003D71E3"/>
    <w:rsid w:val="003D7BFE"/>
    <w:rsid w:val="003E5DF7"/>
    <w:rsid w:val="003E670E"/>
    <w:rsid w:val="003E73AA"/>
    <w:rsid w:val="003E7ACF"/>
    <w:rsid w:val="003E7B86"/>
    <w:rsid w:val="003F0E03"/>
    <w:rsid w:val="003F2FCC"/>
    <w:rsid w:val="003F418C"/>
    <w:rsid w:val="003F471A"/>
    <w:rsid w:val="003F54CE"/>
    <w:rsid w:val="003F5F7E"/>
    <w:rsid w:val="003F7653"/>
    <w:rsid w:val="003F7905"/>
    <w:rsid w:val="00400593"/>
    <w:rsid w:val="00406092"/>
    <w:rsid w:val="00412C4D"/>
    <w:rsid w:val="00414293"/>
    <w:rsid w:val="0041517E"/>
    <w:rsid w:val="00415BA7"/>
    <w:rsid w:val="004170F8"/>
    <w:rsid w:val="004230ED"/>
    <w:rsid w:val="004239F3"/>
    <w:rsid w:val="0042540A"/>
    <w:rsid w:val="00427199"/>
    <w:rsid w:val="00427880"/>
    <w:rsid w:val="00427AD1"/>
    <w:rsid w:val="004327DF"/>
    <w:rsid w:val="00435214"/>
    <w:rsid w:val="00435C41"/>
    <w:rsid w:val="00437420"/>
    <w:rsid w:val="00442634"/>
    <w:rsid w:val="004441F1"/>
    <w:rsid w:val="00444789"/>
    <w:rsid w:val="004474F2"/>
    <w:rsid w:val="00450D24"/>
    <w:rsid w:val="0045260C"/>
    <w:rsid w:val="004529D5"/>
    <w:rsid w:val="00453090"/>
    <w:rsid w:val="00454D7D"/>
    <w:rsid w:val="00455D46"/>
    <w:rsid w:val="00455E32"/>
    <w:rsid w:val="00455F45"/>
    <w:rsid w:val="0046194C"/>
    <w:rsid w:val="00462042"/>
    <w:rsid w:val="0046217C"/>
    <w:rsid w:val="00462891"/>
    <w:rsid w:val="0046392F"/>
    <w:rsid w:val="00465909"/>
    <w:rsid w:val="00467203"/>
    <w:rsid w:val="0046794C"/>
    <w:rsid w:val="00467D8E"/>
    <w:rsid w:val="004711F2"/>
    <w:rsid w:val="004712E9"/>
    <w:rsid w:val="00471378"/>
    <w:rsid w:val="0047283D"/>
    <w:rsid w:val="00473D95"/>
    <w:rsid w:val="0047590D"/>
    <w:rsid w:val="00475AEC"/>
    <w:rsid w:val="00476466"/>
    <w:rsid w:val="004800E3"/>
    <w:rsid w:val="00484A79"/>
    <w:rsid w:val="004860F9"/>
    <w:rsid w:val="00486A4B"/>
    <w:rsid w:val="00490982"/>
    <w:rsid w:val="00491612"/>
    <w:rsid w:val="00491D47"/>
    <w:rsid w:val="0049247F"/>
    <w:rsid w:val="004947B8"/>
    <w:rsid w:val="004948FD"/>
    <w:rsid w:val="00494C97"/>
    <w:rsid w:val="00494EA8"/>
    <w:rsid w:val="00495914"/>
    <w:rsid w:val="0049758B"/>
    <w:rsid w:val="004976CD"/>
    <w:rsid w:val="004A0CFB"/>
    <w:rsid w:val="004A1919"/>
    <w:rsid w:val="004A1F18"/>
    <w:rsid w:val="004A2639"/>
    <w:rsid w:val="004A5312"/>
    <w:rsid w:val="004A542A"/>
    <w:rsid w:val="004B2C66"/>
    <w:rsid w:val="004B2CDC"/>
    <w:rsid w:val="004B39BF"/>
    <w:rsid w:val="004B4A87"/>
    <w:rsid w:val="004B4B91"/>
    <w:rsid w:val="004B4CDC"/>
    <w:rsid w:val="004C0E12"/>
    <w:rsid w:val="004C0F79"/>
    <w:rsid w:val="004C1D98"/>
    <w:rsid w:val="004C421B"/>
    <w:rsid w:val="004C43B6"/>
    <w:rsid w:val="004C4628"/>
    <w:rsid w:val="004C526C"/>
    <w:rsid w:val="004C5F57"/>
    <w:rsid w:val="004C638E"/>
    <w:rsid w:val="004D04B3"/>
    <w:rsid w:val="004D0D29"/>
    <w:rsid w:val="004D0F67"/>
    <w:rsid w:val="004D1459"/>
    <w:rsid w:val="004D22F0"/>
    <w:rsid w:val="004D297C"/>
    <w:rsid w:val="004D5563"/>
    <w:rsid w:val="004D5673"/>
    <w:rsid w:val="004D6CA1"/>
    <w:rsid w:val="004E038D"/>
    <w:rsid w:val="004E0803"/>
    <w:rsid w:val="004E3390"/>
    <w:rsid w:val="004E3971"/>
    <w:rsid w:val="004E4750"/>
    <w:rsid w:val="004E49C8"/>
    <w:rsid w:val="004E51B2"/>
    <w:rsid w:val="004E57E0"/>
    <w:rsid w:val="004E65D4"/>
    <w:rsid w:val="004F156A"/>
    <w:rsid w:val="004F2774"/>
    <w:rsid w:val="004F4810"/>
    <w:rsid w:val="004F564D"/>
    <w:rsid w:val="004F684D"/>
    <w:rsid w:val="00500068"/>
    <w:rsid w:val="00500E81"/>
    <w:rsid w:val="00501106"/>
    <w:rsid w:val="00501297"/>
    <w:rsid w:val="00502A0B"/>
    <w:rsid w:val="00504E68"/>
    <w:rsid w:val="005053A4"/>
    <w:rsid w:val="00506B48"/>
    <w:rsid w:val="005077D3"/>
    <w:rsid w:val="00510E0C"/>
    <w:rsid w:val="00512BA0"/>
    <w:rsid w:val="00512F11"/>
    <w:rsid w:val="00514A1A"/>
    <w:rsid w:val="00516778"/>
    <w:rsid w:val="00516DEF"/>
    <w:rsid w:val="00522DF9"/>
    <w:rsid w:val="00523934"/>
    <w:rsid w:val="005326D0"/>
    <w:rsid w:val="0053313A"/>
    <w:rsid w:val="00533956"/>
    <w:rsid w:val="00534E03"/>
    <w:rsid w:val="00534EDB"/>
    <w:rsid w:val="00535A21"/>
    <w:rsid w:val="00536171"/>
    <w:rsid w:val="00537734"/>
    <w:rsid w:val="00537994"/>
    <w:rsid w:val="00537A26"/>
    <w:rsid w:val="00540CA3"/>
    <w:rsid w:val="00541062"/>
    <w:rsid w:val="00543CC9"/>
    <w:rsid w:val="00544000"/>
    <w:rsid w:val="0054571C"/>
    <w:rsid w:val="0054790A"/>
    <w:rsid w:val="00552242"/>
    <w:rsid w:val="00552736"/>
    <w:rsid w:val="0055450A"/>
    <w:rsid w:val="00556571"/>
    <w:rsid w:val="005565ED"/>
    <w:rsid w:val="0056041E"/>
    <w:rsid w:val="005635C4"/>
    <w:rsid w:val="005648F4"/>
    <w:rsid w:val="005652B6"/>
    <w:rsid w:val="00571702"/>
    <w:rsid w:val="00571A98"/>
    <w:rsid w:val="00573486"/>
    <w:rsid w:val="00576320"/>
    <w:rsid w:val="0057727D"/>
    <w:rsid w:val="00577EBD"/>
    <w:rsid w:val="005801D2"/>
    <w:rsid w:val="005806F5"/>
    <w:rsid w:val="00580CBD"/>
    <w:rsid w:val="00580E22"/>
    <w:rsid w:val="00581951"/>
    <w:rsid w:val="00582365"/>
    <w:rsid w:val="00582815"/>
    <w:rsid w:val="0058370A"/>
    <w:rsid w:val="00585A37"/>
    <w:rsid w:val="00585B6B"/>
    <w:rsid w:val="00585BB3"/>
    <w:rsid w:val="00585BBA"/>
    <w:rsid w:val="005862B7"/>
    <w:rsid w:val="005862CC"/>
    <w:rsid w:val="005868C7"/>
    <w:rsid w:val="00586BE5"/>
    <w:rsid w:val="0059108A"/>
    <w:rsid w:val="0059110F"/>
    <w:rsid w:val="0059221A"/>
    <w:rsid w:val="00594B57"/>
    <w:rsid w:val="005951EF"/>
    <w:rsid w:val="00595AB5"/>
    <w:rsid w:val="00595C67"/>
    <w:rsid w:val="00596B88"/>
    <w:rsid w:val="0059700F"/>
    <w:rsid w:val="005A1624"/>
    <w:rsid w:val="005A35F1"/>
    <w:rsid w:val="005A56C2"/>
    <w:rsid w:val="005A58A8"/>
    <w:rsid w:val="005A5E77"/>
    <w:rsid w:val="005B0CB9"/>
    <w:rsid w:val="005B1C67"/>
    <w:rsid w:val="005B3A66"/>
    <w:rsid w:val="005B3BC5"/>
    <w:rsid w:val="005B3EA3"/>
    <w:rsid w:val="005B463B"/>
    <w:rsid w:val="005C0EF9"/>
    <w:rsid w:val="005C0F60"/>
    <w:rsid w:val="005C1831"/>
    <w:rsid w:val="005C2E69"/>
    <w:rsid w:val="005C3007"/>
    <w:rsid w:val="005C43CA"/>
    <w:rsid w:val="005C6363"/>
    <w:rsid w:val="005D0BCF"/>
    <w:rsid w:val="005D13B2"/>
    <w:rsid w:val="005D1C13"/>
    <w:rsid w:val="005D1F97"/>
    <w:rsid w:val="005D29BB"/>
    <w:rsid w:val="005D3802"/>
    <w:rsid w:val="005D3A50"/>
    <w:rsid w:val="005D3F31"/>
    <w:rsid w:val="005D767C"/>
    <w:rsid w:val="005E1117"/>
    <w:rsid w:val="005E1D63"/>
    <w:rsid w:val="005E1E0A"/>
    <w:rsid w:val="005E4862"/>
    <w:rsid w:val="005E72EE"/>
    <w:rsid w:val="005E768B"/>
    <w:rsid w:val="005F00E2"/>
    <w:rsid w:val="005F2EA2"/>
    <w:rsid w:val="005F6254"/>
    <w:rsid w:val="005F7E60"/>
    <w:rsid w:val="00600F44"/>
    <w:rsid w:val="00601047"/>
    <w:rsid w:val="00603788"/>
    <w:rsid w:val="00604563"/>
    <w:rsid w:val="006064F3"/>
    <w:rsid w:val="00606E8B"/>
    <w:rsid w:val="00607984"/>
    <w:rsid w:val="006123C6"/>
    <w:rsid w:val="006125EC"/>
    <w:rsid w:val="006138DE"/>
    <w:rsid w:val="006148B5"/>
    <w:rsid w:val="006150B0"/>
    <w:rsid w:val="00615A76"/>
    <w:rsid w:val="00616BBC"/>
    <w:rsid w:val="006171D2"/>
    <w:rsid w:val="00617B51"/>
    <w:rsid w:val="00621189"/>
    <w:rsid w:val="00621DAD"/>
    <w:rsid w:val="00622376"/>
    <w:rsid w:val="00622BDE"/>
    <w:rsid w:val="006233FA"/>
    <w:rsid w:val="00623B1C"/>
    <w:rsid w:val="00623F10"/>
    <w:rsid w:val="0063188C"/>
    <w:rsid w:val="00634AE4"/>
    <w:rsid w:val="0063600C"/>
    <w:rsid w:val="006365C3"/>
    <w:rsid w:val="00637A8C"/>
    <w:rsid w:val="0064056E"/>
    <w:rsid w:val="0064129D"/>
    <w:rsid w:val="00641E79"/>
    <w:rsid w:val="006427CC"/>
    <w:rsid w:val="006439A2"/>
    <w:rsid w:val="00643BE0"/>
    <w:rsid w:val="006475A7"/>
    <w:rsid w:val="00651991"/>
    <w:rsid w:val="00651B7A"/>
    <w:rsid w:val="00652F74"/>
    <w:rsid w:val="0065334E"/>
    <w:rsid w:val="00653938"/>
    <w:rsid w:val="006548AF"/>
    <w:rsid w:val="00655E44"/>
    <w:rsid w:val="00655FD8"/>
    <w:rsid w:val="00661B32"/>
    <w:rsid w:val="00663487"/>
    <w:rsid w:val="00665D90"/>
    <w:rsid w:val="00666696"/>
    <w:rsid w:val="00671C67"/>
    <w:rsid w:val="00673FC3"/>
    <w:rsid w:val="00675D44"/>
    <w:rsid w:val="00675EE4"/>
    <w:rsid w:val="00676BDB"/>
    <w:rsid w:val="006873A4"/>
    <w:rsid w:val="0069058F"/>
    <w:rsid w:val="00691911"/>
    <w:rsid w:val="00692320"/>
    <w:rsid w:val="00692F2B"/>
    <w:rsid w:val="00693B5B"/>
    <w:rsid w:val="006953A0"/>
    <w:rsid w:val="00695A6F"/>
    <w:rsid w:val="00695B05"/>
    <w:rsid w:val="00697CC0"/>
    <w:rsid w:val="006A1393"/>
    <w:rsid w:val="006A2677"/>
    <w:rsid w:val="006A410E"/>
    <w:rsid w:val="006A6C1F"/>
    <w:rsid w:val="006A7F34"/>
    <w:rsid w:val="006B0270"/>
    <w:rsid w:val="006B048E"/>
    <w:rsid w:val="006B11BE"/>
    <w:rsid w:val="006B2A3B"/>
    <w:rsid w:val="006B378F"/>
    <w:rsid w:val="006B3BAB"/>
    <w:rsid w:val="006B3EE4"/>
    <w:rsid w:val="006B552C"/>
    <w:rsid w:val="006C186D"/>
    <w:rsid w:val="006C3660"/>
    <w:rsid w:val="006C4932"/>
    <w:rsid w:val="006C5444"/>
    <w:rsid w:val="006D06D4"/>
    <w:rsid w:val="006D1C06"/>
    <w:rsid w:val="006D2FDC"/>
    <w:rsid w:val="006D36F2"/>
    <w:rsid w:val="006D4DD7"/>
    <w:rsid w:val="006D6A24"/>
    <w:rsid w:val="006E00C9"/>
    <w:rsid w:val="006E0DF9"/>
    <w:rsid w:val="006E1958"/>
    <w:rsid w:val="006E1992"/>
    <w:rsid w:val="006E427A"/>
    <w:rsid w:val="006E4C38"/>
    <w:rsid w:val="006F08E2"/>
    <w:rsid w:val="006F0FDB"/>
    <w:rsid w:val="006F1D78"/>
    <w:rsid w:val="006F3DF8"/>
    <w:rsid w:val="006F3EFD"/>
    <w:rsid w:val="006F4958"/>
    <w:rsid w:val="006F5A64"/>
    <w:rsid w:val="006F6132"/>
    <w:rsid w:val="006F646E"/>
    <w:rsid w:val="0070004C"/>
    <w:rsid w:val="00700651"/>
    <w:rsid w:val="00700DF5"/>
    <w:rsid w:val="00703770"/>
    <w:rsid w:val="007042E4"/>
    <w:rsid w:val="0070465D"/>
    <w:rsid w:val="00705379"/>
    <w:rsid w:val="00707DA4"/>
    <w:rsid w:val="00710F3C"/>
    <w:rsid w:val="00712E45"/>
    <w:rsid w:val="00713FA2"/>
    <w:rsid w:val="007153CF"/>
    <w:rsid w:val="0071689B"/>
    <w:rsid w:val="007177A4"/>
    <w:rsid w:val="00720184"/>
    <w:rsid w:val="007207ED"/>
    <w:rsid w:val="0073182C"/>
    <w:rsid w:val="00731BD1"/>
    <w:rsid w:val="0073217D"/>
    <w:rsid w:val="00732207"/>
    <w:rsid w:val="00733E58"/>
    <w:rsid w:val="00734AA7"/>
    <w:rsid w:val="0073502F"/>
    <w:rsid w:val="007369C2"/>
    <w:rsid w:val="007375F5"/>
    <w:rsid w:val="00737E09"/>
    <w:rsid w:val="007400B7"/>
    <w:rsid w:val="00740480"/>
    <w:rsid w:val="007415EF"/>
    <w:rsid w:val="007450DA"/>
    <w:rsid w:val="00751C00"/>
    <w:rsid w:val="007559BA"/>
    <w:rsid w:val="00757724"/>
    <w:rsid w:val="007579EE"/>
    <w:rsid w:val="00762BBE"/>
    <w:rsid w:val="0076493A"/>
    <w:rsid w:val="00764A04"/>
    <w:rsid w:val="00764F14"/>
    <w:rsid w:val="00765DCB"/>
    <w:rsid w:val="0076605C"/>
    <w:rsid w:val="00766148"/>
    <w:rsid w:val="00766461"/>
    <w:rsid w:val="007700FA"/>
    <w:rsid w:val="00770FFE"/>
    <w:rsid w:val="007717DC"/>
    <w:rsid w:val="0077302C"/>
    <w:rsid w:val="007731F9"/>
    <w:rsid w:val="00773FD9"/>
    <w:rsid w:val="007744ED"/>
    <w:rsid w:val="00776379"/>
    <w:rsid w:val="007768C1"/>
    <w:rsid w:val="00780393"/>
    <w:rsid w:val="007825AA"/>
    <w:rsid w:val="0078364F"/>
    <w:rsid w:val="00783BA5"/>
    <w:rsid w:val="0078742F"/>
    <w:rsid w:val="007877F3"/>
    <w:rsid w:val="00787B30"/>
    <w:rsid w:val="00790168"/>
    <w:rsid w:val="007905A2"/>
    <w:rsid w:val="007908ED"/>
    <w:rsid w:val="0079102F"/>
    <w:rsid w:val="00791CAF"/>
    <w:rsid w:val="00793880"/>
    <w:rsid w:val="007967B2"/>
    <w:rsid w:val="007A11D2"/>
    <w:rsid w:val="007A12AE"/>
    <w:rsid w:val="007A1475"/>
    <w:rsid w:val="007A2992"/>
    <w:rsid w:val="007A302F"/>
    <w:rsid w:val="007A31ED"/>
    <w:rsid w:val="007A3422"/>
    <w:rsid w:val="007B3EC1"/>
    <w:rsid w:val="007B44CC"/>
    <w:rsid w:val="007B673C"/>
    <w:rsid w:val="007C103F"/>
    <w:rsid w:val="007C1B6D"/>
    <w:rsid w:val="007C2855"/>
    <w:rsid w:val="007C346A"/>
    <w:rsid w:val="007C4B36"/>
    <w:rsid w:val="007C5EF4"/>
    <w:rsid w:val="007C61BA"/>
    <w:rsid w:val="007C64CF"/>
    <w:rsid w:val="007D0E24"/>
    <w:rsid w:val="007D185D"/>
    <w:rsid w:val="007D2D3D"/>
    <w:rsid w:val="007D3880"/>
    <w:rsid w:val="007D5FBE"/>
    <w:rsid w:val="007E09BA"/>
    <w:rsid w:val="007E0FBE"/>
    <w:rsid w:val="007E294A"/>
    <w:rsid w:val="007E34CA"/>
    <w:rsid w:val="007E4664"/>
    <w:rsid w:val="007E4B33"/>
    <w:rsid w:val="007E5A53"/>
    <w:rsid w:val="007E5B91"/>
    <w:rsid w:val="007EC800"/>
    <w:rsid w:val="007F05AB"/>
    <w:rsid w:val="007F20F2"/>
    <w:rsid w:val="007F402C"/>
    <w:rsid w:val="007F43F6"/>
    <w:rsid w:val="007F49D7"/>
    <w:rsid w:val="007F541D"/>
    <w:rsid w:val="007F78DC"/>
    <w:rsid w:val="00800A74"/>
    <w:rsid w:val="0080593C"/>
    <w:rsid w:val="00805C76"/>
    <w:rsid w:val="008064EA"/>
    <w:rsid w:val="008102CA"/>
    <w:rsid w:val="00811AFD"/>
    <w:rsid w:val="00812234"/>
    <w:rsid w:val="00812C3E"/>
    <w:rsid w:val="0081392E"/>
    <w:rsid w:val="00813955"/>
    <w:rsid w:val="00815F85"/>
    <w:rsid w:val="008163A2"/>
    <w:rsid w:val="00817034"/>
    <w:rsid w:val="0082025B"/>
    <w:rsid w:val="00820A4A"/>
    <w:rsid w:val="00821461"/>
    <w:rsid w:val="00823C94"/>
    <w:rsid w:val="00825285"/>
    <w:rsid w:val="008263A4"/>
    <w:rsid w:val="008266D7"/>
    <w:rsid w:val="008302C2"/>
    <w:rsid w:val="00830A4D"/>
    <w:rsid w:val="00830F57"/>
    <w:rsid w:val="00832759"/>
    <w:rsid w:val="00833060"/>
    <w:rsid w:val="00833D7A"/>
    <w:rsid w:val="008344DB"/>
    <w:rsid w:val="00834BCB"/>
    <w:rsid w:val="00834CB4"/>
    <w:rsid w:val="00834E85"/>
    <w:rsid w:val="00835285"/>
    <w:rsid w:val="00835965"/>
    <w:rsid w:val="00836487"/>
    <w:rsid w:val="00836880"/>
    <w:rsid w:val="0084085E"/>
    <w:rsid w:val="00841D7E"/>
    <w:rsid w:val="008436DD"/>
    <w:rsid w:val="008448D8"/>
    <w:rsid w:val="00844B5A"/>
    <w:rsid w:val="00845707"/>
    <w:rsid w:val="0084617B"/>
    <w:rsid w:val="008501C5"/>
    <w:rsid w:val="00850290"/>
    <w:rsid w:val="0085338F"/>
    <w:rsid w:val="00854AC7"/>
    <w:rsid w:val="00857F65"/>
    <w:rsid w:val="0086051E"/>
    <w:rsid w:val="00860649"/>
    <w:rsid w:val="00861D96"/>
    <w:rsid w:val="0086208E"/>
    <w:rsid w:val="008639FB"/>
    <w:rsid w:val="00864A5D"/>
    <w:rsid w:val="008659B1"/>
    <w:rsid w:val="00865CE6"/>
    <w:rsid w:val="00867D85"/>
    <w:rsid w:val="00871DE9"/>
    <w:rsid w:val="00872E95"/>
    <w:rsid w:val="00876192"/>
    <w:rsid w:val="008810E4"/>
    <w:rsid w:val="00882527"/>
    <w:rsid w:val="00883257"/>
    <w:rsid w:val="00886F8B"/>
    <w:rsid w:val="008870F2"/>
    <w:rsid w:val="008901AB"/>
    <w:rsid w:val="00890772"/>
    <w:rsid w:val="00890E02"/>
    <w:rsid w:val="00891E2E"/>
    <w:rsid w:val="00892B87"/>
    <w:rsid w:val="00894168"/>
    <w:rsid w:val="00895250"/>
    <w:rsid w:val="00895506"/>
    <w:rsid w:val="0089716B"/>
    <w:rsid w:val="008A3286"/>
    <w:rsid w:val="008A4949"/>
    <w:rsid w:val="008A518A"/>
    <w:rsid w:val="008A5273"/>
    <w:rsid w:val="008A6EEF"/>
    <w:rsid w:val="008B0F75"/>
    <w:rsid w:val="008B0F81"/>
    <w:rsid w:val="008B28EB"/>
    <w:rsid w:val="008B3D77"/>
    <w:rsid w:val="008B4865"/>
    <w:rsid w:val="008B7CDE"/>
    <w:rsid w:val="008C01E1"/>
    <w:rsid w:val="008C0380"/>
    <w:rsid w:val="008C179F"/>
    <w:rsid w:val="008C39EB"/>
    <w:rsid w:val="008C5650"/>
    <w:rsid w:val="008C5957"/>
    <w:rsid w:val="008C5C97"/>
    <w:rsid w:val="008C7896"/>
    <w:rsid w:val="008D0934"/>
    <w:rsid w:val="008D1675"/>
    <w:rsid w:val="008D246D"/>
    <w:rsid w:val="008D413A"/>
    <w:rsid w:val="008D4605"/>
    <w:rsid w:val="008D601E"/>
    <w:rsid w:val="008D626A"/>
    <w:rsid w:val="008D65E4"/>
    <w:rsid w:val="008D6F30"/>
    <w:rsid w:val="008E0546"/>
    <w:rsid w:val="008E0550"/>
    <w:rsid w:val="008E2035"/>
    <w:rsid w:val="008E2587"/>
    <w:rsid w:val="008E3D18"/>
    <w:rsid w:val="008E499C"/>
    <w:rsid w:val="008E5AE6"/>
    <w:rsid w:val="008F0FB3"/>
    <w:rsid w:val="008F15D4"/>
    <w:rsid w:val="008F2887"/>
    <w:rsid w:val="008F36E0"/>
    <w:rsid w:val="008F41B5"/>
    <w:rsid w:val="008F5BC8"/>
    <w:rsid w:val="008F6A29"/>
    <w:rsid w:val="008F6D20"/>
    <w:rsid w:val="008F7A13"/>
    <w:rsid w:val="008F7E48"/>
    <w:rsid w:val="009003DD"/>
    <w:rsid w:val="0090043A"/>
    <w:rsid w:val="009027BC"/>
    <w:rsid w:val="009034DB"/>
    <w:rsid w:val="009038AB"/>
    <w:rsid w:val="00903B9F"/>
    <w:rsid w:val="00904695"/>
    <w:rsid w:val="00906394"/>
    <w:rsid w:val="009071B6"/>
    <w:rsid w:val="00910DC5"/>
    <w:rsid w:val="00911F42"/>
    <w:rsid w:val="0091464F"/>
    <w:rsid w:val="0091563B"/>
    <w:rsid w:val="00915D4F"/>
    <w:rsid w:val="00916C38"/>
    <w:rsid w:val="0091782F"/>
    <w:rsid w:val="0091788B"/>
    <w:rsid w:val="0092470C"/>
    <w:rsid w:val="00924E28"/>
    <w:rsid w:val="0092680D"/>
    <w:rsid w:val="00927213"/>
    <w:rsid w:val="00932A57"/>
    <w:rsid w:val="00932CDF"/>
    <w:rsid w:val="0093311D"/>
    <w:rsid w:val="00934A65"/>
    <w:rsid w:val="009358A8"/>
    <w:rsid w:val="00937670"/>
    <w:rsid w:val="009377E4"/>
    <w:rsid w:val="0094086E"/>
    <w:rsid w:val="0094148C"/>
    <w:rsid w:val="00941944"/>
    <w:rsid w:val="00941D39"/>
    <w:rsid w:val="009432E0"/>
    <w:rsid w:val="00943E73"/>
    <w:rsid w:val="009468B2"/>
    <w:rsid w:val="00951C6E"/>
    <w:rsid w:val="00952992"/>
    <w:rsid w:val="0095399D"/>
    <w:rsid w:val="0095443B"/>
    <w:rsid w:val="00957538"/>
    <w:rsid w:val="00957A25"/>
    <w:rsid w:val="00961C71"/>
    <w:rsid w:val="009621F4"/>
    <w:rsid w:val="00962AD6"/>
    <w:rsid w:val="00962C33"/>
    <w:rsid w:val="009635F6"/>
    <w:rsid w:val="00963842"/>
    <w:rsid w:val="009641DB"/>
    <w:rsid w:val="0096425B"/>
    <w:rsid w:val="00966748"/>
    <w:rsid w:val="00967265"/>
    <w:rsid w:val="00967C80"/>
    <w:rsid w:val="00971492"/>
    <w:rsid w:val="009724AB"/>
    <w:rsid w:val="00973C93"/>
    <w:rsid w:val="00974652"/>
    <w:rsid w:val="00976A1B"/>
    <w:rsid w:val="00977480"/>
    <w:rsid w:val="0097764A"/>
    <w:rsid w:val="00980C3D"/>
    <w:rsid w:val="00980F2C"/>
    <w:rsid w:val="00983762"/>
    <w:rsid w:val="009837B4"/>
    <w:rsid w:val="00984B0D"/>
    <w:rsid w:val="00984C8D"/>
    <w:rsid w:val="009850FC"/>
    <w:rsid w:val="0098628C"/>
    <w:rsid w:val="009864C5"/>
    <w:rsid w:val="00986CAC"/>
    <w:rsid w:val="009872DC"/>
    <w:rsid w:val="00987696"/>
    <w:rsid w:val="00987A3D"/>
    <w:rsid w:val="00987AA2"/>
    <w:rsid w:val="00990D79"/>
    <w:rsid w:val="00990FC9"/>
    <w:rsid w:val="009913C0"/>
    <w:rsid w:val="009923EA"/>
    <w:rsid w:val="009971C5"/>
    <w:rsid w:val="00997533"/>
    <w:rsid w:val="00997D34"/>
    <w:rsid w:val="009A027E"/>
    <w:rsid w:val="009A0C84"/>
    <w:rsid w:val="009A27DC"/>
    <w:rsid w:val="009A2DCC"/>
    <w:rsid w:val="009A4381"/>
    <w:rsid w:val="009A4649"/>
    <w:rsid w:val="009A48B4"/>
    <w:rsid w:val="009A5202"/>
    <w:rsid w:val="009A57E1"/>
    <w:rsid w:val="009A5CE3"/>
    <w:rsid w:val="009A6180"/>
    <w:rsid w:val="009A7AF8"/>
    <w:rsid w:val="009B0213"/>
    <w:rsid w:val="009B21E6"/>
    <w:rsid w:val="009B2F24"/>
    <w:rsid w:val="009B3A5A"/>
    <w:rsid w:val="009B3E4F"/>
    <w:rsid w:val="009B42F4"/>
    <w:rsid w:val="009B57DC"/>
    <w:rsid w:val="009B6982"/>
    <w:rsid w:val="009B7D12"/>
    <w:rsid w:val="009C0665"/>
    <w:rsid w:val="009C0CF7"/>
    <w:rsid w:val="009C0D78"/>
    <w:rsid w:val="009C20C7"/>
    <w:rsid w:val="009C2AC8"/>
    <w:rsid w:val="009C4A54"/>
    <w:rsid w:val="009C5FD9"/>
    <w:rsid w:val="009C7D57"/>
    <w:rsid w:val="009D0403"/>
    <w:rsid w:val="009D1945"/>
    <w:rsid w:val="009D455F"/>
    <w:rsid w:val="009D4765"/>
    <w:rsid w:val="009D546C"/>
    <w:rsid w:val="009D5566"/>
    <w:rsid w:val="009D571E"/>
    <w:rsid w:val="009D700B"/>
    <w:rsid w:val="009D710E"/>
    <w:rsid w:val="009D71F9"/>
    <w:rsid w:val="009E1472"/>
    <w:rsid w:val="009E315C"/>
    <w:rsid w:val="009E3186"/>
    <w:rsid w:val="009E4122"/>
    <w:rsid w:val="009E4538"/>
    <w:rsid w:val="009E6648"/>
    <w:rsid w:val="009E746D"/>
    <w:rsid w:val="009E7B07"/>
    <w:rsid w:val="009F26A1"/>
    <w:rsid w:val="009F3AB7"/>
    <w:rsid w:val="009F40FF"/>
    <w:rsid w:val="00A01219"/>
    <w:rsid w:val="00A02306"/>
    <w:rsid w:val="00A024F5"/>
    <w:rsid w:val="00A03D99"/>
    <w:rsid w:val="00A04342"/>
    <w:rsid w:val="00A04A67"/>
    <w:rsid w:val="00A04CE8"/>
    <w:rsid w:val="00A0591C"/>
    <w:rsid w:val="00A07BDC"/>
    <w:rsid w:val="00A105BE"/>
    <w:rsid w:val="00A10C83"/>
    <w:rsid w:val="00A11115"/>
    <w:rsid w:val="00A12C24"/>
    <w:rsid w:val="00A139BA"/>
    <w:rsid w:val="00A15BBA"/>
    <w:rsid w:val="00A17BAB"/>
    <w:rsid w:val="00A20D24"/>
    <w:rsid w:val="00A210C0"/>
    <w:rsid w:val="00A21697"/>
    <w:rsid w:val="00A262EF"/>
    <w:rsid w:val="00A26495"/>
    <w:rsid w:val="00A2741F"/>
    <w:rsid w:val="00A30B68"/>
    <w:rsid w:val="00A30F4C"/>
    <w:rsid w:val="00A323A1"/>
    <w:rsid w:val="00A3278A"/>
    <w:rsid w:val="00A347FB"/>
    <w:rsid w:val="00A3599C"/>
    <w:rsid w:val="00A36202"/>
    <w:rsid w:val="00A36AB9"/>
    <w:rsid w:val="00A40BD4"/>
    <w:rsid w:val="00A4179F"/>
    <w:rsid w:val="00A4198B"/>
    <w:rsid w:val="00A41F64"/>
    <w:rsid w:val="00A423AE"/>
    <w:rsid w:val="00A424BA"/>
    <w:rsid w:val="00A42B17"/>
    <w:rsid w:val="00A47885"/>
    <w:rsid w:val="00A52289"/>
    <w:rsid w:val="00A525C2"/>
    <w:rsid w:val="00A52D1D"/>
    <w:rsid w:val="00A531B4"/>
    <w:rsid w:val="00A54BEC"/>
    <w:rsid w:val="00A56CB4"/>
    <w:rsid w:val="00A56E22"/>
    <w:rsid w:val="00A5788B"/>
    <w:rsid w:val="00A60F96"/>
    <w:rsid w:val="00A62E81"/>
    <w:rsid w:val="00A642B4"/>
    <w:rsid w:val="00A67081"/>
    <w:rsid w:val="00A6781D"/>
    <w:rsid w:val="00A7037B"/>
    <w:rsid w:val="00A70615"/>
    <w:rsid w:val="00A70CA9"/>
    <w:rsid w:val="00A711FA"/>
    <w:rsid w:val="00A7144C"/>
    <w:rsid w:val="00A71C7D"/>
    <w:rsid w:val="00A72D5E"/>
    <w:rsid w:val="00A72D5F"/>
    <w:rsid w:val="00A7460F"/>
    <w:rsid w:val="00A751FE"/>
    <w:rsid w:val="00A75886"/>
    <w:rsid w:val="00A76BB0"/>
    <w:rsid w:val="00A805F1"/>
    <w:rsid w:val="00A809F1"/>
    <w:rsid w:val="00A81A53"/>
    <w:rsid w:val="00A828E4"/>
    <w:rsid w:val="00A8364E"/>
    <w:rsid w:val="00A86458"/>
    <w:rsid w:val="00A870CD"/>
    <w:rsid w:val="00A87B1E"/>
    <w:rsid w:val="00A92090"/>
    <w:rsid w:val="00A92F3E"/>
    <w:rsid w:val="00A9342E"/>
    <w:rsid w:val="00A949A4"/>
    <w:rsid w:val="00A94C9E"/>
    <w:rsid w:val="00A955A9"/>
    <w:rsid w:val="00AA261D"/>
    <w:rsid w:val="00AA3DD6"/>
    <w:rsid w:val="00AA46DF"/>
    <w:rsid w:val="00AA489C"/>
    <w:rsid w:val="00AA4F0D"/>
    <w:rsid w:val="00AA5444"/>
    <w:rsid w:val="00AA544B"/>
    <w:rsid w:val="00AB0CC5"/>
    <w:rsid w:val="00AB379F"/>
    <w:rsid w:val="00AB3D44"/>
    <w:rsid w:val="00AB4438"/>
    <w:rsid w:val="00AB4FB4"/>
    <w:rsid w:val="00AB7918"/>
    <w:rsid w:val="00AC16BE"/>
    <w:rsid w:val="00AC1A7B"/>
    <w:rsid w:val="00AC23F3"/>
    <w:rsid w:val="00AC3D99"/>
    <w:rsid w:val="00AC7AEE"/>
    <w:rsid w:val="00AD17C7"/>
    <w:rsid w:val="00AD2B1B"/>
    <w:rsid w:val="00AD388D"/>
    <w:rsid w:val="00AD3EF7"/>
    <w:rsid w:val="00AD4DA2"/>
    <w:rsid w:val="00AD5DC7"/>
    <w:rsid w:val="00AD77DE"/>
    <w:rsid w:val="00AD7EFA"/>
    <w:rsid w:val="00AE15CB"/>
    <w:rsid w:val="00AE236C"/>
    <w:rsid w:val="00AE30BB"/>
    <w:rsid w:val="00AE3A16"/>
    <w:rsid w:val="00AE3C0C"/>
    <w:rsid w:val="00AE4CB4"/>
    <w:rsid w:val="00AE62C5"/>
    <w:rsid w:val="00AF0C14"/>
    <w:rsid w:val="00AF1987"/>
    <w:rsid w:val="00AF39CD"/>
    <w:rsid w:val="00AF43FB"/>
    <w:rsid w:val="00AF4423"/>
    <w:rsid w:val="00AF7314"/>
    <w:rsid w:val="00AF7375"/>
    <w:rsid w:val="00AF7F92"/>
    <w:rsid w:val="00B00035"/>
    <w:rsid w:val="00B00685"/>
    <w:rsid w:val="00B014B6"/>
    <w:rsid w:val="00B02385"/>
    <w:rsid w:val="00B043B5"/>
    <w:rsid w:val="00B05F2E"/>
    <w:rsid w:val="00B06E59"/>
    <w:rsid w:val="00B070E0"/>
    <w:rsid w:val="00B104A9"/>
    <w:rsid w:val="00B1072E"/>
    <w:rsid w:val="00B11455"/>
    <w:rsid w:val="00B11823"/>
    <w:rsid w:val="00B13862"/>
    <w:rsid w:val="00B21D1F"/>
    <w:rsid w:val="00B22305"/>
    <w:rsid w:val="00B224BD"/>
    <w:rsid w:val="00B236E9"/>
    <w:rsid w:val="00B23C0D"/>
    <w:rsid w:val="00B2603D"/>
    <w:rsid w:val="00B27008"/>
    <w:rsid w:val="00B27155"/>
    <w:rsid w:val="00B3003E"/>
    <w:rsid w:val="00B3037A"/>
    <w:rsid w:val="00B34FA5"/>
    <w:rsid w:val="00B351B5"/>
    <w:rsid w:val="00B35691"/>
    <w:rsid w:val="00B35D4E"/>
    <w:rsid w:val="00B36F5F"/>
    <w:rsid w:val="00B37BB0"/>
    <w:rsid w:val="00B37E31"/>
    <w:rsid w:val="00B40638"/>
    <w:rsid w:val="00B42120"/>
    <w:rsid w:val="00B44D3F"/>
    <w:rsid w:val="00B46320"/>
    <w:rsid w:val="00B47BC9"/>
    <w:rsid w:val="00B47D1D"/>
    <w:rsid w:val="00B514CC"/>
    <w:rsid w:val="00B52E00"/>
    <w:rsid w:val="00B5449D"/>
    <w:rsid w:val="00B54869"/>
    <w:rsid w:val="00B55459"/>
    <w:rsid w:val="00B56432"/>
    <w:rsid w:val="00B57962"/>
    <w:rsid w:val="00B57A8B"/>
    <w:rsid w:val="00B57D5E"/>
    <w:rsid w:val="00B613C3"/>
    <w:rsid w:val="00B621D7"/>
    <w:rsid w:val="00B62FF6"/>
    <w:rsid w:val="00B63A8E"/>
    <w:rsid w:val="00B660DD"/>
    <w:rsid w:val="00B6759A"/>
    <w:rsid w:val="00B67E7C"/>
    <w:rsid w:val="00B7001B"/>
    <w:rsid w:val="00B70C7C"/>
    <w:rsid w:val="00B71653"/>
    <w:rsid w:val="00B71813"/>
    <w:rsid w:val="00B720F6"/>
    <w:rsid w:val="00B73158"/>
    <w:rsid w:val="00B73FA4"/>
    <w:rsid w:val="00B7607D"/>
    <w:rsid w:val="00B779A1"/>
    <w:rsid w:val="00B80D40"/>
    <w:rsid w:val="00B82237"/>
    <w:rsid w:val="00B82FB4"/>
    <w:rsid w:val="00B83408"/>
    <w:rsid w:val="00B83864"/>
    <w:rsid w:val="00B84E03"/>
    <w:rsid w:val="00B856EB"/>
    <w:rsid w:val="00B85FE9"/>
    <w:rsid w:val="00B862CE"/>
    <w:rsid w:val="00B87000"/>
    <w:rsid w:val="00B873AB"/>
    <w:rsid w:val="00B901DD"/>
    <w:rsid w:val="00B91873"/>
    <w:rsid w:val="00B91F41"/>
    <w:rsid w:val="00B936BB"/>
    <w:rsid w:val="00B93C50"/>
    <w:rsid w:val="00B93CE8"/>
    <w:rsid w:val="00B94093"/>
    <w:rsid w:val="00B95302"/>
    <w:rsid w:val="00B9574C"/>
    <w:rsid w:val="00BA1393"/>
    <w:rsid w:val="00BA1B66"/>
    <w:rsid w:val="00BA24DA"/>
    <w:rsid w:val="00BA3E37"/>
    <w:rsid w:val="00BA524D"/>
    <w:rsid w:val="00BA5C15"/>
    <w:rsid w:val="00BA6EE2"/>
    <w:rsid w:val="00BA7D4F"/>
    <w:rsid w:val="00BB1B6E"/>
    <w:rsid w:val="00BB2C05"/>
    <w:rsid w:val="00BB5EA2"/>
    <w:rsid w:val="00BB6CD1"/>
    <w:rsid w:val="00BB7A38"/>
    <w:rsid w:val="00BB7F90"/>
    <w:rsid w:val="00BC080E"/>
    <w:rsid w:val="00BC26BB"/>
    <w:rsid w:val="00BC7B4B"/>
    <w:rsid w:val="00BD2F06"/>
    <w:rsid w:val="00BD36EC"/>
    <w:rsid w:val="00BD3B86"/>
    <w:rsid w:val="00BD4023"/>
    <w:rsid w:val="00BD51BC"/>
    <w:rsid w:val="00BD5C7B"/>
    <w:rsid w:val="00BD67FD"/>
    <w:rsid w:val="00BD6B12"/>
    <w:rsid w:val="00BE03B5"/>
    <w:rsid w:val="00BE03E5"/>
    <w:rsid w:val="00BE0B33"/>
    <w:rsid w:val="00BE2290"/>
    <w:rsid w:val="00BE31E7"/>
    <w:rsid w:val="00BE399D"/>
    <w:rsid w:val="00BE3B0F"/>
    <w:rsid w:val="00BE6CC8"/>
    <w:rsid w:val="00BF143F"/>
    <w:rsid w:val="00BF1559"/>
    <w:rsid w:val="00BF2B4A"/>
    <w:rsid w:val="00BF31B1"/>
    <w:rsid w:val="00BF45A5"/>
    <w:rsid w:val="00BF4659"/>
    <w:rsid w:val="00BF4A8A"/>
    <w:rsid w:val="00BF4BCA"/>
    <w:rsid w:val="00BF594B"/>
    <w:rsid w:val="00BF781D"/>
    <w:rsid w:val="00C02E3B"/>
    <w:rsid w:val="00C03918"/>
    <w:rsid w:val="00C04426"/>
    <w:rsid w:val="00C04449"/>
    <w:rsid w:val="00C05F93"/>
    <w:rsid w:val="00C0717B"/>
    <w:rsid w:val="00C07D80"/>
    <w:rsid w:val="00C11A1C"/>
    <w:rsid w:val="00C122E8"/>
    <w:rsid w:val="00C1411B"/>
    <w:rsid w:val="00C14BF5"/>
    <w:rsid w:val="00C14E52"/>
    <w:rsid w:val="00C150AC"/>
    <w:rsid w:val="00C15A4C"/>
    <w:rsid w:val="00C17B1D"/>
    <w:rsid w:val="00C21552"/>
    <w:rsid w:val="00C22272"/>
    <w:rsid w:val="00C22439"/>
    <w:rsid w:val="00C2326F"/>
    <w:rsid w:val="00C23867"/>
    <w:rsid w:val="00C23CC0"/>
    <w:rsid w:val="00C24A7C"/>
    <w:rsid w:val="00C24CB4"/>
    <w:rsid w:val="00C26100"/>
    <w:rsid w:val="00C26363"/>
    <w:rsid w:val="00C26FBA"/>
    <w:rsid w:val="00C30344"/>
    <w:rsid w:val="00C31F3C"/>
    <w:rsid w:val="00C32846"/>
    <w:rsid w:val="00C334B1"/>
    <w:rsid w:val="00C34320"/>
    <w:rsid w:val="00C34544"/>
    <w:rsid w:val="00C35312"/>
    <w:rsid w:val="00C37358"/>
    <w:rsid w:val="00C373BF"/>
    <w:rsid w:val="00C37816"/>
    <w:rsid w:val="00C37E51"/>
    <w:rsid w:val="00C41633"/>
    <w:rsid w:val="00C416B0"/>
    <w:rsid w:val="00C45B33"/>
    <w:rsid w:val="00C45EDA"/>
    <w:rsid w:val="00C45FB8"/>
    <w:rsid w:val="00C478FE"/>
    <w:rsid w:val="00C51497"/>
    <w:rsid w:val="00C51FA9"/>
    <w:rsid w:val="00C5261B"/>
    <w:rsid w:val="00C5352C"/>
    <w:rsid w:val="00C544A6"/>
    <w:rsid w:val="00C54DB1"/>
    <w:rsid w:val="00C56B33"/>
    <w:rsid w:val="00C61833"/>
    <w:rsid w:val="00C6291B"/>
    <w:rsid w:val="00C6354E"/>
    <w:rsid w:val="00C643D3"/>
    <w:rsid w:val="00C644E6"/>
    <w:rsid w:val="00C65503"/>
    <w:rsid w:val="00C65A5E"/>
    <w:rsid w:val="00C6607D"/>
    <w:rsid w:val="00C660C9"/>
    <w:rsid w:val="00C7105D"/>
    <w:rsid w:val="00C71B12"/>
    <w:rsid w:val="00C72BE4"/>
    <w:rsid w:val="00C73379"/>
    <w:rsid w:val="00C741BA"/>
    <w:rsid w:val="00C74294"/>
    <w:rsid w:val="00C74B0E"/>
    <w:rsid w:val="00C76EAA"/>
    <w:rsid w:val="00C77A7A"/>
    <w:rsid w:val="00C80605"/>
    <w:rsid w:val="00C8087B"/>
    <w:rsid w:val="00C815B6"/>
    <w:rsid w:val="00C81957"/>
    <w:rsid w:val="00C82DF3"/>
    <w:rsid w:val="00C83489"/>
    <w:rsid w:val="00C84D0A"/>
    <w:rsid w:val="00C84ED0"/>
    <w:rsid w:val="00C86E55"/>
    <w:rsid w:val="00C87DDF"/>
    <w:rsid w:val="00C9122A"/>
    <w:rsid w:val="00C92D69"/>
    <w:rsid w:val="00C931E7"/>
    <w:rsid w:val="00C935B2"/>
    <w:rsid w:val="00C93A53"/>
    <w:rsid w:val="00C940D9"/>
    <w:rsid w:val="00C96C34"/>
    <w:rsid w:val="00C97175"/>
    <w:rsid w:val="00C97814"/>
    <w:rsid w:val="00CA2F98"/>
    <w:rsid w:val="00CA449D"/>
    <w:rsid w:val="00CA5D53"/>
    <w:rsid w:val="00CA60E1"/>
    <w:rsid w:val="00CB2765"/>
    <w:rsid w:val="00CB3138"/>
    <w:rsid w:val="00CB3F64"/>
    <w:rsid w:val="00CB4FDB"/>
    <w:rsid w:val="00CC262C"/>
    <w:rsid w:val="00CC26E2"/>
    <w:rsid w:val="00CC4FAF"/>
    <w:rsid w:val="00CC54E5"/>
    <w:rsid w:val="00CC58BB"/>
    <w:rsid w:val="00CC5F33"/>
    <w:rsid w:val="00CD0AD9"/>
    <w:rsid w:val="00CD0E4A"/>
    <w:rsid w:val="00CD108C"/>
    <w:rsid w:val="00CD1DA4"/>
    <w:rsid w:val="00CD3466"/>
    <w:rsid w:val="00CD3DFC"/>
    <w:rsid w:val="00CD5BB8"/>
    <w:rsid w:val="00CD5D05"/>
    <w:rsid w:val="00CD7300"/>
    <w:rsid w:val="00CE09D3"/>
    <w:rsid w:val="00CE56FF"/>
    <w:rsid w:val="00CE622B"/>
    <w:rsid w:val="00CE6633"/>
    <w:rsid w:val="00CE68CA"/>
    <w:rsid w:val="00CF5042"/>
    <w:rsid w:val="00CF5B39"/>
    <w:rsid w:val="00CF7214"/>
    <w:rsid w:val="00D00EDB"/>
    <w:rsid w:val="00D05EF5"/>
    <w:rsid w:val="00D10997"/>
    <w:rsid w:val="00D10A06"/>
    <w:rsid w:val="00D11D88"/>
    <w:rsid w:val="00D12335"/>
    <w:rsid w:val="00D13A13"/>
    <w:rsid w:val="00D14640"/>
    <w:rsid w:val="00D16CC4"/>
    <w:rsid w:val="00D17218"/>
    <w:rsid w:val="00D17BE2"/>
    <w:rsid w:val="00D20049"/>
    <w:rsid w:val="00D207CE"/>
    <w:rsid w:val="00D21467"/>
    <w:rsid w:val="00D22004"/>
    <w:rsid w:val="00D22073"/>
    <w:rsid w:val="00D23833"/>
    <w:rsid w:val="00D23B67"/>
    <w:rsid w:val="00D23F57"/>
    <w:rsid w:val="00D25B75"/>
    <w:rsid w:val="00D25CCE"/>
    <w:rsid w:val="00D26079"/>
    <w:rsid w:val="00D26220"/>
    <w:rsid w:val="00D26C0D"/>
    <w:rsid w:val="00D275A1"/>
    <w:rsid w:val="00D27763"/>
    <w:rsid w:val="00D278D1"/>
    <w:rsid w:val="00D27D9B"/>
    <w:rsid w:val="00D323CF"/>
    <w:rsid w:val="00D32818"/>
    <w:rsid w:val="00D32C10"/>
    <w:rsid w:val="00D33396"/>
    <w:rsid w:val="00D33E47"/>
    <w:rsid w:val="00D34978"/>
    <w:rsid w:val="00D4024A"/>
    <w:rsid w:val="00D40B4D"/>
    <w:rsid w:val="00D41880"/>
    <w:rsid w:val="00D41BDB"/>
    <w:rsid w:val="00D44252"/>
    <w:rsid w:val="00D44F12"/>
    <w:rsid w:val="00D44F66"/>
    <w:rsid w:val="00D45BAF"/>
    <w:rsid w:val="00D463A7"/>
    <w:rsid w:val="00D475A1"/>
    <w:rsid w:val="00D47DD1"/>
    <w:rsid w:val="00D50CD8"/>
    <w:rsid w:val="00D51879"/>
    <w:rsid w:val="00D54B93"/>
    <w:rsid w:val="00D54EB3"/>
    <w:rsid w:val="00D54F3B"/>
    <w:rsid w:val="00D56DA2"/>
    <w:rsid w:val="00D603CF"/>
    <w:rsid w:val="00D61993"/>
    <w:rsid w:val="00D62380"/>
    <w:rsid w:val="00D64D51"/>
    <w:rsid w:val="00D65F4E"/>
    <w:rsid w:val="00D66CDA"/>
    <w:rsid w:val="00D66FDB"/>
    <w:rsid w:val="00D67EF1"/>
    <w:rsid w:val="00D72447"/>
    <w:rsid w:val="00D729F2"/>
    <w:rsid w:val="00D72F7A"/>
    <w:rsid w:val="00D763D8"/>
    <w:rsid w:val="00D80084"/>
    <w:rsid w:val="00D86888"/>
    <w:rsid w:val="00D875F9"/>
    <w:rsid w:val="00D90B4F"/>
    <w:rsid w:val="00D90BA6"/>
    <w:rsid w:val="00D912BC"/>
    <w:rsid w:val="00D91EC2"/>
    <w:rsid w:val="00D92E28"/>
    <w:rsid w:val="00D932A0"/>
    <w:rsid w:val="00D94648"/>
    <w:rsid w:val="00D96DC2"/>
    <w:rsid w:val="00DA01C9"/>
    <w:rsid w:val="00DA0D5F"/>
    <w:rsid w:val="00DA1B5D"/>
    <w:rsid w:val="00DA44B7"/>
    <w:rsid w:val="00DA5395"/>
    <w:rsid w:val="00DA5473"/>
    <w:rsid w:val="00DA62C4"/>
    <w:rsid w:val="00DA7B2A"/>
    <w:rsid w:val="00DA7D33"/>
    <w:rsid w:val="00DB0FA8"/>
    <w:rsid w:val="00DB15B5"/>
    <w:rsid w:val="00DB3665"/>
    <w:rsid w:val="00DB3947"/>
    <w:rsid w:val="00DB56B3"/>
    <w:rsid w:val="00DB60A2"/>
    <w:rsid w:val="00DB6C7C"/>
    <w:rsid w:val="00DB750C"/>
    <w:rsid w:val="00DC12A8"/>
    <w:rsid w:val="00DC16B0"/>
    <w:rsid w:val="00DC2081"/>
    <w:rsid w:val="00DC21E2"/>
    <w:rsid w:val="00DC4666"/>
    <w:rsid w:val="00DC4865"/>
    <w:rsid w:val="00DD038E"/>
    <w:rsid w:val="00DD080D"/>
    <w:rsid w:val="00DD1C77"/>
    <w:rsid w:val="00DD5E5C"/>
    <w:rsid w:val="00DE0AC9"/>
    <w:rsid w:val="00DE15D8"/>
    <w:rsid w:val="00DE3ABC"/>
    <w:rsid w:val="00DE7D79"/>
    <w:rsid w:val="00DE7EDA"/>
    <w:rsid w:val="00DF0485"/>
    <w:rsid w:val="00DF12A8"/>
    <w:rsid w:val="00DF3EE6"/>
    <w:rsid w:val="00DF4F46"/>
    <w:rsid w:val="00DF58F1"/>
    <w:rsid w:val="00E00DA1"/>
    <w:rsid w:val="00E010BE"/>
    <w:rsid w:val="00E018DC"/>
    <w:rsid w:val="00E01C77"/>
    <w:rsid w:val="00E02681"/>
    <w:rsid w:val="00E0311C"/>
    <w:rsid w:val="00E03230"/>
    <w:rsid w:val="00E03C3D"/>
    <w:rsid w:val="00E05565"/>
    <w:rsid w:val="00E0622B"/>
    <w:rsid w:val="00E062A0"/>
    <w:rsid w:val="00E064DF"/>
    <w:rsid w:val="00E06554"/>
    <w:rsid w:val="00E067BD"/>
    <w:rsid w:val="00E068CA"/>
    <w:rsid w:val="00E06AB4"/>
    <w:rsid w:val="00E10CA3"/>
    <w:rsid w:val="00E132C8"/>
    <w:rsid w:val="00E13B9A"/>
    <w:rsid w:val="00E140B8"/>
    <w:rsid w:val="00E14732"/>
    <w:rsid w:val="00E170B6"/>
    <w:rsid w:val="00E202B2"/>
    <w:rsid w:val="00E252EF"/>
    <w:rsid w:val="00E25407"/>
    <w:rsid w:val="00E27727"/>
    <w:rsid w:val="00E31FED"/>
    <w:rsid w:val="00E323F5"/>
    <w:rsid w:val="00E331B2"/>
    <w:rsid w:val="00E33462"/>
    <w:rsid w:val="00E3383C"/>
    <w:rsid w:val="00E33D05"/>
    <w:rsid w:val="00E35A0E"/>
    <w:rsid w:val="00E35B03"/>
    <w:rsid w:val="00E35C4D"/>
    <w:rsid w:val="00E378C2"/>
    <w:rsid w:val="00E37A60"/>
    <w:rsid w:val="00E4178B"/>
    <w:rsid w:val="00E418BC"/>
    <w:rsid w:val="00E44B2F"/>
    <w:rsid w:val="00E44D2F"/>
    <w:rsid w:val="00E45005"/>
    <w:rsid w:val="00E45EF0"/>
    <w:rsid w:val="00E46F17"/>
    <w:rsid w:val="00E47137"/>
    <w:rsid w:val="00E52580"/>
    <w:rsid w:val="00E5410D"/>
    <w:rsid w:val="00E5420B"/>
    <w:rsid w:val="00E544B1"/>
    <w:rsid w:val="00E54A06"/>
    <w:rsid w:val="00E5536C"/>
    <w:rsid w:val="00E55EA8"/>
    <w:rsid w:val="00E55FC0"/>
    <w:rsid w:val="00E56CB8"/>
    <w:rsid w:val="00E57948"/>
    <w:rsid w:val="00E57A78"/>
    <w:rsid w:val="00E57EEC"/>
    <w:rsid w:val="00E60729"/>
    <w:rsid w:val="00E60A60"/>
    <w:rsid w:val="00E62B4B"/>
    <w:rsid w:val="00E634B4"/>
    <w:rsid w:val="00E63B6C"/>
    <w:rsid w:val="00E63C19"/>
    <w:rsid w:val="00E71479"/>
    <w:rsid w:val="00E71521"/>
    <w:rsid w:val="00E7153F"/>
    <w:rsid w:val="00E7235C"/>
    <w:rsid w:val="00E74639"/>
    <w:rsid w:val="00E75349"/>
    <w:rsid w:val="00E76147"/>
    <w:rsid w:val="00E77463"/>
    <w:rsid w:val="00E77551"/>
    <w:rsid w:val="00E80475"/>
    <w:rsid w:val="00E81486"/>
    <w:rsid w:val="00E82189"/>
    <w:rsid w:val="00E82800"/>
    <w:rsid w:val="00E82CD3"/>
    <w:rsid w:val="00E84613"/>
    <w:rsid w:val="00E8483C"/>
    <w:rsid w:val="00E84D6F"/>
    <w:rsid w:val="00E84E63"/>
    <w:rsid w:val="00E84F51"/>
    <w:rsid w:val="00E90457"/>
    <w:rsid w:val="00E90592"/>
    <w:rsid w:val="00E9127E"/>
    <w:rsid w:val="00E9135E"/>
    <w:rsid w:val="00E917D6"/>
    <w:rsid w:val="00E91E5E"/>
    <w:rsid w:val="00E92007"/>
    <w:rsid w:val="00E9252A"/>
    <w:rsid w:val="00E92554"/>
    <w:rsid w:val="00EA1BFF"/>
    <w:rsid w:val="00EA254B"/>
    <w:rsid w:val="00EA361A"/>
    <w:rsid w:val="00EA547A"/>
    <w:rsid w:val="00EA7AD7"/>
    <w:rsid w:val="00EB042E"/>
    <w:rsid w:val="00EB043A"/>
    <w:rsid w:val="00EB0ED0"/>
    <w:rsid w:val="00EB1485"/>
    <w:rsid w:val="00EB26F8"/>
    <w:rsid w:val="00EB3F57"/>
    <w:rsid w:val="00EB4874"/>
    <w:rsid w:val="00EB4BDF"/>
    <w:rsid w:val="00EB5B1C"/>
    <w:rsid w:val="00EB5DB3"/>
    <w:rsid w:val="00EB6D5E"/>
    <w:rsid w:val="00EB7D8E"/>
    <w:rsid w:val="00EC018C"/>
    <w:rsid w:val="00EC2EBF"/>
    <w:rsid w:val="00EC654A"/>
    <w:rsid w:val="00EC7393"/>
    <w:rsid w:val="00ED14D2"/>
    <w:rsid w:val="00ED3CE8"/>
    <w:rsid w:val="00ED4054"/>
    <w:rsid w:val="00ED4FCD"/>
    <w:rsid w:val="00ED6B86"/>
    <w:rsid w:val="00EE22C4"/>
    <w:rsid w:val="00EE3464"/>
    <w:rsid w:val="00EE3751"/>
    <w:rsid w:val="00EE703D"/>
    <w:rsid w:val="00EF0549"/>
    <w:rsid w:val="00EF3418"/>
    <w:rsid w:val="00EF5935"/>
    <w:rsid w:val="00EF7D62"/>
    <w:rsid w:val="00EF7F2B"/>
    <w:rsid w:val="00F000E4"/>
    <w:rsid w:val="00F01316"/>
    <w:rsid w:val="00F0184D"/>
    <w:rsid w:val="00F05062"/>
    <w:rsid w:val="00F11441"/>
    <w:rsid w:val="00F1193B"/>
    <w:rsid w:val="00F13BB9"/>
    <w:rsid w:val="00F142B0"/>
    <w:rsid w:val="00F14951"/>
    <w:rsid w:val="00F155A1"/>
    <w:rsid w:val="00F21D8F"/>
    <w:rsid w:val="00F22F65"/>
    <w:rsid w:val="00F2382D"/>
    <w:rsid w:val="00F24E60"/>
    <w:rsid w:val="00F257A3"/>
    <w:rsid w:val="00F26EAD"/>
    <w:rsid w:val="00F27DE3"/>
    <w:rsid w:val="00F27EC6"/>
    <w:rsid w:val="00F302D5"/>
    <w:rsid w:val="00F304A4"/>
    <w:rsid w:val="00F30689"/>
    <w:rsid w:val="00F30832"/>
    <w:rsid w:val="00F314A2"/>
    <w:rsid w:val="00F31E66"/>
    <w:rsid w:val="00F342CE"/>
    <w:rsid w:val="00F34325"/>
    <w:rsid w:val="00F367B8"/>
    <w:rsid w:val="00F369F9"/>
    <w:rsid w:val="00F40B72"/>
    <w:rsid w:val="00F40BA2"/>
    <w:rsid w:val="00F40E98"/>
    <w:rsid w:val="00F413BA"/>
    <w:rsid w:val="00F42182"/>
    <w:rsid w:val="00F42FF4"/>
    <w:rsid w:val="00F4388F"/>
    <w:rsid w:val="00F43F27"/>
    <w:rsid w:val="00F442CC"/>
    <w:rsid w:val="00F47635"/>
    <w:rsid w:val="00F50567"/>
    <w:rsid w:val="00F50C97"/>
    <w:rsid w:val="00F5193F"/>
    <w:rsid w:val="00F519C2"/>
    <w:rsid w:val="00F51D52"/>
    <w:rsid w:val="00F52A1B"/>
    <w:rsid w:val="00F555EE"/>
    <w:rsid w:val="00F563C7"/>
    <w:rsid w:val="00F62F3C"/>
    <w:rsid w:val="00F639C2"/>
    <w:rsid w:val="00F6684A"/>
    <w:rsid w:val="00F70966"/>
    <w:rsid w:val="00F716BD"/>
    <w:rsid w:val="00F73610"/>
    <w:rsid w:val="00F7399C"/>
    <w:rsid w:val="00F73AC3"/>
    <w:rsid w:val="00F74410"/>
    <w:rsid w:val="00F74D8D"/>
    <w:rsid w:val="00F757A5"/>
    <w:rsid w:val="00F807BB"/>
    <w:rsid w:val="00F80D0F"/>
    <w:rsid w:val="00F8121B"/>
    <w:rsid w:val="00F81905"/>
    <w:rsid w:val="00F82F71"/>
    <w:rsid w:val="00F83D35"/>
    <w:rsid w:val="00F83E6C"/>
    <w:rsid w:val="00F8564B"/>
    <w:rsid w:val="00F859FB"/>
    <w:rsid w:val="00F90B6C"/>
    <w:rsid w:val="00F9135C"/>
    <w:rsid w:val="00F91981"/>
    <w:rsid w:val="00F933A5"/>
    <w:rsid w:val="00F93696"/>
    <w:rsid w:val="00F93DF4"/>
    <w:rsid w:val="00F95750"/>
    <w:rsid w:val="00F967A6"/>
    <w:rsid w:val="00F96B63"/>
    <w:rsid w:val="00FA0262"/>
    <w:rsid w:val="00FA0ADA"/>
    <w:rsid w:val="00FA1339"/>
    <w:rsid w:val="00FA2080"/>
    <w:rsid w:val="00FA254A"/>
    <w:rsid w:val="00FA25AB"/>
    <w:rsid w:val="00FA41A2"/>
    <w:rsid w:val="00FA4EC3"/>
    <w:rsid w:val="00FA6534"/>
    <w:rsid w:val="00FA7B71"/>
    <w:rsid w:val="00FB017F"/>
    <w:rsid w:val="00FB19DA"/>
    <w:rsid w:val="00FB19E4"/>
    <w:rsid w:val="00FB1A18"/>
    <w:rsid w:val="00FB62AA"/>
    <w:rsid w:val="00FB71EC"/>
    <w:rsid w:val="00FB7E6D"/>
    <w:rsid w:val="00FC1B68"/>
    <w:rsid w:val="00FC3864"/>
    <w:rsid w:val="00FC4838"/>
    <w:rsid w:val="00FC4D9A"/>
    <w:rsid w:val="00FC69A4"/>
    <w:rsid w:val="00FC70E7"/>
    <w:rsid w:val="00FC75AE"/>
    <w:rsid w:val="00FC7873"/>
    <w:rsid w:val="00FC7B8C"/>
    <w:rsid w:val="00FD3988"/>
    <w:rsid w:val="00FD3EE3"/>
    <w:rsid w:val="00FD4306"/>
    <w:rsid w:val="00FD441C"/>
    <w:rsid w:val="00FD5672"/>
    <w:rsid w:val="00FD608C"/>
    <w:rsid w:val="00FE062B"/>
    <w:rsid w:val="00FE2B57"/>
    <w:rsid w:val="00FE54FB"/>
    <w:rsid w:val="00FE65F9"/>
    <w:rsid w:val="00FE6811"/>
    <w:rsid w:val="00FF4F57"/>
    <w:rsid w:val="00FF57ED"/>
    <w:rsid w:val="0171545A"/>
    <w:rsid w:val="030E7E36"/>
    <w:rsid w:val="059CAC1A"/>
    <w:rsid w:val="092343F4"/>
    <w:rsid w:val="09EB67E7"/>
    <w:rsid w:val="0BFFA03E"/>
    <w:rsid w:val="0DAC2321"/>
    <w:rsid w:val="0E7D097F"/>
    <w:rsid w:val="141D4164"/>
    <w:rsid w:val="162B0149"/>
    <w:rsid w:val="17141545"/>
    <w:rsid w:val="177BE373"/>
    <w:rsid w:val="179F7D54"/>
    <w:rsid w:val="1AFFBAC2"/>
    <w:rsid w:val="1B2F709E"/>
    <w:rsid w:val="1DDFF058"/>
    <w:rsid w:val="1DFF0FD8"/>
    <w:rsid w:val="1E1F34FE"/>
    <w:rsid w:val="1F6FE734"/>
    <w:rsid w:val="217D2E22"/>
    <w:rsid w:val="21E66B08"/>
    <w:rsid w:val="23DF4951"/>
    <w:rsid w:val="26FE1348"/>
    <w:rsid w:val="27672585"/>
    <w:rsid w:val="282E50B6"/>
    <w:rsid w:val="2BBF0DE0"/>
    <w:rsid w:val="2CDB44B9"/>
    <w:rsid w:val="2D6F84BC"/>
    <w:rsid w:val="2DFFB2E5"/>
    <w:rsid w:val="2E4464A4"/>
    <w:rsid w:val="2EFF77CB"/>
    <w:rsid w:val="2FAE54A9"/>
    <w:rsid w:val="2FF75DEF"/>
    <w:rsid w:val="367F5389"/>
    <w:rsid w:val="375D2884"/>
    <w:rsid w:val="378CA10C"/>
    <w:rsid w:val="37F77832"/>
    <w:rsid w:val="3A1E5F9A"/>
    <w:rsid w:val="3BCC24EA"/>
    <w:rsid w:val="3BDF8AE4"/>
    <w:rsid w:val="3DB31237"/>
    <w:rsid w:val="3DFA9A1D"/>
    <w:rsid w:val="3E5F2E7C"/>
    <w:rsid w:val="3EA7C288"/>
    <w:rsid w:val="3EFF4C6D"/>
    <w:rsid w:val="3F5E7B73"/>
    <w:rsid w:val="3F76BE11"/>
    <w:rsid w:val="3FBE5D23"/>
    <w:rsid w:val="3FEA8EB6"/>
    <w:rsid w:val="3FEFB582"/>
    <w:rsid w:val="3FF35094"/>
    <w:rsid w:val="3FFDEDBD"/>
    <w:rsid w:val="411F6259"/>
    <w:rsid w:val="41A73B94"/>
    <w:rsid w:val="45EF3DEE"/>
    <w:rsid w:val="4C7D3E25"/>
    <w:rsid w:val="4E616639"/>
    <w:rsid w:val="4FFEA6E8"/>
    <w:rsid w:val="4FFFAE18"/>
    <w:rsid w:val="51FED7AB"/>
    <w:rsid w:val="527D13D3"/>
    <w:rsid w:val="52DF96BD"/>
    <w:rsid w:val="55F3D044"/>
    <w:rsid w:val="562FA0A0"/>
    <w:rsid w:val="57BB4A90"/>
    <w:rsid w:val="57DB511A"/>
    <w:rsid w:val="57F35BB1"/>
    <w:rsid w:val="5B4FBD41"/>
    <w:rsid w:val="5BBDEA3D"/>
    <w:rsid w:val="5BCD2F1D"/>
    <w:rsid w:val="5BD462C2"/>
    <w:rsid w:val="5BFF3149"/>
    <w:rsid w:val="5CDF7784"/>
    <w:rsid w:val="5CDFCA79"/>
    <w:rsid w:val="5CF73734"/>
    <w:rsid w:val="5D7EA438"/>
    <w:rsid w:val="5DB74AD4"/>
    <w:rsid w:val="5EBDC9DC"/>
    <w:rsid w:val="5EEDDD23"/>
    <w:rsid w:val="5EF7EE05"/>
    <w:rsid w:val="5EFA7CCD"/>
    <w:rsid w:val="5F5B11F2"/>
    <w:rsid w:val="5F7F1EB7"/>
    <w:rsid w:val="5F7F67A6"/>
    <w:rsid w:val="5FAF6185"/>
    <w:rsid w:val="5FD7F598"/>
    <w:rsid w:val="5FDF9EA8"/>
    <w:rsid w:val="5FEF0FFB"/>
    <w:rsid w:val="5FF9370B"/>
    <w:rsid w:val="5FFB3914"/>
    <w:rsid w:val="5FFFBF76"/>
    <w:rsid w:val="63BFD95A"/>
    <w:rsid w:val="651044C5"/>
    <w:rsid w:val="65594F13"/>
    <w:rsid w:val="66F173EA"/>
    <w:rsid w:val="677FC794"/>
    <w:rsid w:val="67C7B32D"/>
    <w:rsid w:val="67F9C348"/>
    <w:rsid w:val="68015D00"/>
    <w:rsid w:val="69AF4243"/>
    <w:rsid w:val="6AD7599A"/>
    <w:rsid w:val="6B3EFDC5"/>
    <w:rsid w:val="6BF3491C"/>
    <w:rsid w:val="6BFD4CC1"/>
    <w:rsid w:val="6C753BE8"/>
    <w:rsid w:val="6DB5EC70"/>
    <w:rsid w:val="6DF7FF63"/>
    <w:rsid w:val="6DFBC97B"/>
    <w:rsid w:val="6DFF7ADA"/>
    <w:rsid w:val="6E5F5DBC"/>
    <w:rsid w:val="6EDEE842"/>
    <w:rsid w:val="6F37C1A3"/>
    <w:rsid w:val="6F5E924A"/>
    <w:rsid w:val="6F7F0A9E"/>
    <w:rsid w:val="6F9F3B22"/>
    <w:rsid w:val="6FBB27F8"/>
    <w:rsid w:val="6FBB946F"/>
    <w:rsid w:val="6FBE4FA0"/>
    <w:rsid w:val="6FDB700B"/>
    <w:rsid w:val="6FE8D1D4"/>
    <w:rsid w:val="6FFF438D"/>
    <w:rsid w:val="6FFFE925"/>
    <w:rsid w:val="70C75FE8"/>
    <w:rsid w:val="71BF7A32"/>
    <w:rsid w:val="723F6CC6"/>
    <w:rsid w:val="7275FAAD"/>
    <w:rsid w:val="72EE4E2A"/>
    <w:rsid w:val="737F1D5F"/>
    <w:rsid w:val="73FD7332"/>
    <w:rsid w:val="74F49EB4"/>
    <w:rsid w:val="74FBBB43"/>
    <w:rsid w:val="757DE146"/>
    <w:rsid w:val="75ABA5B6"/>
    <w:rsid w:val="75AF190A"/>
    <w:rsid w:val="75ED5D32"/>
    <w:rsid w:val="777FD735"/>
    <w:rsid w:val="77B3821B"/>
    <w:rsid w:val="77BF366F"/>
    <w:rsid w:val="77BFAE7B"/>
    <w:rsid w:val="77F74095"/>
    <w:rsid w:val="77FB2FE3"/>
    <w:rsid w:val="77FEAB8E"/>
    <w:rsid w:val="77FF315E"/>
    <w:rsid w:val="78FE481A"/>
    <w:rsid w:val="797FBB0C"/>
    <w:rsid w:val="79B07A3A"/>
    <w:rsid w:val="79D6722C"/>
    <w:rsid w:val="79EB287C"/>
    <w:rsid w:val="7ABD54DE"/>
    <w:rsid w:val="7ADE3C5E"/>
    <w:rsid w:val="7B4DF8E1"/>
    <w:rsid w:val="7B754617"/>
    <w:rsid w:val="7BF086D6"/>
    <w:rsid w:val="7C095718"/>
    <w:rsid w:val="7CA3E458"/>
    <w:rsid w:val="7CB7EFF0"/>
    <w:rsid w:val="7CD7D87B"/>
    <w:rsid w:val="7CDDE3EA"/>
    <w:rsid w:val="7CF7DE0A"/>
    <w:rsid w:val="7D5B91AA"/>
    <w:rsid w:val="7DBF0EF8"/>
    <w:rsid w:val="7DCFB645"/>
    <w:rsid w:val="7DFE0EF0"/>
    <w:rsid w:val="7DFE18F8"/>
    <w:rsid w:val="7E57BFE2"/>
    <w:rsid w:val="7E6E4D44"/>
    <w:rsid w:val="7E713218"/>
    <w:rsid w:val="7EDE8438"/>
    <w:rsid w:val="7EDF46C1"/>
    <w:rsid w:val="7EF3A278"/>
    <w:rsid w:val="7EFAF087"/>
    <w:rsid w:val="7F0D50B3"/>
    <w:rsid w:val="7F32D09E"/>
    <w:rsid w:val="7F33EB66"/>
    <w:rsid w:val="7F5E7FD0"/>
    <w:rsid w:val="7F6F98B4"/>
    <w:rsid w:val="7F7D3AB6"/>
    <w:rsid w:val="7F7D58EC"/>
    <w:rsid w:val="7F7F835B"/>
    <w:rsid w:val="7F9BE0C6"/>
    <w:rsid w:val="7FA09739"/>
    <w:rsid w:val="7FAC39A2"/>
    <w:rsid w:val="7FDE55B5"/>
    <w:rsid w:val="7FDFAA51"/>
    <w:rsid w:val="7FEF5AF8"/>
    <w:rsid w:val="7FEF6DF7"/>
    <w:rsid w:val="7FF39DE5"/>
    <w:rsid w:val="7FFB1B18"/>
    <w:rsid w:val="7FFB9E07"/>
    <w:rsid w:val="7FFD0247"/>
    <w:rsid w:val="7FFF9593"/>
    <w:rsid w:val="7FFFE81D"/>
    <w:rsid w:val="7FFFEE87"/>
    <w:rsid w:val="873F2367"/>
    <w:rsid w:val="8B7F1B4E"/>
    <w:rsid w:val="8F5DB5F1"/>
    <w:rsid w:val="8FEF7426"/>
    <w:rsid w:val="9AE282ED"/>
    <w:rsid w:val="9B8FBC53"/>
    <w:rsid w:val="9D49C29B"/>
    <w:rsid w:val="9D4B5CFF"/>
    <w:rsid w:val="9DEA1BB2"/>
    <w:rsid w:val="9DEDF46D"/>
    <w:rsid w:val="9DFBBF00"/>
    <w:rsid w:val="9F753B6C"/>
    <w:rsid w:val="9F7AEAA1"/>
    <w:rsid w:val="9FE20AEE"/>
    <w:rsid w:val="A6F7E0E4"/>
    <w:rsid w:val="A76F6FF9"/>
    <w:rsid w:val="AB3B5FC2"/>
    <w:rsid w:val="AD0B4E5B"/>
    <w:rsid w:val="AD5F5AE9"/>
    <w:rsid w:val="AEDBC85E"/>
    <w:rsid w:val="AF794141"/>
    <w:rsid w:val="AFDBA861"/>
    <w:rsid w:val="AFDC2C70"/>
    <w:rsid w:val="AFEAC9AF"/>
    <w:rsid w:val="B1D7308D"/>
    <w:rsid w:val="B3FF6722"/>
    <w:rsid w:val="B47B1A3B"/>
    <w:rsid w:val="B62F3C99"/>
    <w:rsid w:val="B6ED9DD7"/>
    <w:rsid w:val="B76BFB20"/>
    <w:rsid w:val="B7BC5FAF"/>
    <w:rsid w:val="B7FDC13C"/>
    <w:rsid w:val="B9F6E626"/>
    <w:rsid w:val="BA7B23C6"/>
    <w:rsid w:val="BB5F82C5"/>
    <w:rsid w:val="BBB7B5B7"/>
    <w:rsid w:val="BBFBA62C"/>
    <w:rsid w:val="BCFB470E"/>
    <w:rsid w:val="BDE7B93A"/>
    <w:rsid w:val="BE8DFE5F"/>
    <w:rsid w:val="BF1EC92D"/>
    <w:rsid w:val="BF5FE9F9"/>
    <w:rsid w:val="BF7A36F1"/>
    <w:rsid w:val="BFBA6641"/>
    <w:rsid w:val="BFFF2233"/>
    <w:rsid w:val="C11D7E95"/>
    <w:rsid w:val="C7BFC2A7"/>
    <w:rsid w:val="CA6D34B6"/>
    <w:rsid w:val="CB391C3B"/>
    <w:rsid w:val="CB6B9BBF"/>
    <w:rsid w:val="CBFC8F54"/>
    <w:rsid w:val="CD3EDDE9"/>
    <w:rsid w:val="CDFF93E8"/>
    <w:rsid w:val="CFFF7263"/>
    <w:rsid w:val="D55A393A"/>
    <w:rsid w:val="D74F51F1"/>
    <w:rsid w:val="D7F61A29"/>
    <w:rsid w:val="D7FCE74E"/>
    <w:rsid w:val="D9FE846C"/>
    <w:rsid w:val="DA3761C1"/>
    <w:rsid w:val="DA4EB5A9"/>
    <w:rsid w:val="DB7B234B"/>
    <w:rsid w:val="DD15FF32"/>
    <w:rsid w:val="DD7F1C9F"/>
    <w:rsid w:val="DDE7C80F"/>
    <w:rsid w:val="DE330624"/>
    <w:rsid w:val="DE3B703D"/>
    <w:rsid w:val="DEBBC8C2"/>
    <w:rsid w:val="DEFF1BE8"/>
    <w:rsid w:val="DFAA26FA"/>
    <w:rsid w:val="DFDB8CDE"/>
    <w:rsid w:val="DFEB4ADC"/>
    <w:rsid w:val="DFEF5BD4"/>
    <w:rsid w:val="DFEFD79F"/>
    <w:rsid w:val="DFF7E9E8"/>
    <w:rsid w:val="DFFCCCAF"/>
    <w:rsid w:val="DFFF0AE5"/>
    <w:rsid w:val="E34FD4A1"/>
    <w:rsid w:val="E5BFB64B"/>
    <w:rsid w:val="E7DBFFBA"/>
    <w:rsid w:val="E8F3D033"/>
    <w:rsid w:val="E9EDBFFE"/>
    <w:rsid w:val="E9F71EFB"/>
    <w:rsid w:val="E9FB2F63"/>
    <w:rsid w:val="EAF36011"/>
    <w:rsid w:val="EBD5B723"/>
    <w:rsid w:val="EBF87B54"/>
    <w:rsid w:val="ECAE8611"/>
    <w:rsid w:val="ECBD954E"/>
    <w:rsid w:val="ED5A00F7"/>
    <w:rsid w:val="EDFF307D"/>
    <w:rsid w:val="EDFFD33F"/>
    <w:rsid w:val="EE6B868A"/>
    <w:rsid w:val="EEF6DF70"/>
    <w:rsid w:val="EF1B379F"/>
    <w:rsid w:val="EF3DEACA"/>
    <w:rsid w:val="EFD6533C"/>
    <w:rsid w:val="EFDFFC12"/>
    <w:rsid w:val="EFFF178E"/>
    <w:rsid w:val="F0AF59DC"/>
    <w:rsid w:val="F14E1DD5"/>
    <w:rsid w:val="F37FB1F5"/>
    <w:rsid w:val="F38D895D"/>
    <w:rsid w:val="F3F54342"/>
    <w:rsid w:val="F5FFC33A"/>
    <w:rsid w:val="F6A7AC1E"/>
    <w:rsid w:val="F6BA26BB"/>
    <w:rsid w:val="F74F3FE6"/>
    <w:rsid w:val="F77E5F01"/>
    <w:rsid w:val="F7978B14"/>
    <w:rsid w:val="F79F13B4"/>
    <w:rsid w:val="F7EAD6D4"/>
    <w:rsid w:val="F7EFAD22"/>
    <w:rsid w:val="F7FB1298"/>
    <w:rsid w:val="F7FDFCF0"/>
    <w:rsid w:val="F7FF35EB"/>
    <w:rsid w:val="F97FB884"/>
    <w:rsid w:val="F9CF8CB2"/>
    <w:rsid w:val="F9ED827A"/>
    <w:rsid w:val="F9FBC21F"/>
    <w:rsid w:val="FA5DA317"/>
    <w:rsid w:val="FA7A06FB"/>
    <w:rsid w:val="FAEDE806"/>
    <w:rsid w:val="FAF41D82"/>
    <w:rsid w:val="FB3BD7B7"/>
    <w:rsid w:val="FB6E079A"/>
    <w:rsid w:val="FB7E255A"/>
    <w:rsid w:val="FBE99938"/>
    <w:rsid w:val="FBEF0DB4"/>
    <w:rsid w:val="FBFF5A5B"/>
    <w:rsid w:val="FC7F8BD1"/>
    <w:rsid w:val="FCF3362A"/>
    <w:rsid w:val="FCFE9703"/>
    <w:rsid w:val="FD338641"/>
    <w:rsid w:val="FD4DE01E"/>
    <w:rsid w:val="FDABA8D4"/>
    <w:rsid w:val="FDBBF4D5"/>
    <w:rsid w:val="FDBF031F"/>
    <w:rsid w:val="FDD7A529"/>
    <w:rsid w:val="FDDFEB63"/>
    <w:rsid w:val="FDEA2A97"/>
    <w:rsid w:val="FDFDBD3D"/>
    <w:rsid w:val="FDFFC79F"/>
    <w:rsid w:val="FDFFF8E1"/>
    <w:rsid w:val="FE3BFE21"/>
    <w:rsid w:val="FE5B6A2E"/>
    <w:rsid w:val="FE734873"/>
    <w:rsid w:val="FE7B7CB0"/>
    <w:rsid w:val="FE7E532D"/>
    <w:rsid w:val="FEAF2110"/>
    <w:rsid w:val="FEBF2705"/>
    <w:rsid w:val="FEECF044"/>
    <w:rsid w:val="FEFAD0E5"/>
    <w:rsid w:val="FEFBEE05"/>
    <w:rsid w:val="FF46A45C"/>
    <w:rsid w:val="FF7ACAC6"/>
    <w:rsid w:val="FF93536D"/>
    <w:rsid w:val="FFA78F7F"/>
    <w:rsid w:val="FFBF350A"/>
    <w:rsid w:val="FFBFE80A"/>
    <w:rsid w:val="FFCC71FE"/>
    <w:rsid w:val="FFD30349"/>
    <w:rsid w:val="FFD7C83C"/>
    <w:rsid w:val="FFDD9387"/>
    <w:rsid w:val="FFDF0904"/>
    <w:rsid w:val="FFDF7796"/>
    <w:rsid w:val="FFEA7D19"/>
    <w:rsid w:val="FFED8463"/>
    <w:rsid w:val="FFF59B1F"/>
    <w:rsid w:val="FFF629D3"/>
    <w:rsid w:val="FFF7033C"/>
    <w:rsid w:val="FFF7EE7B"/>
    <w:rsid w:val="FFF89C2E"/>
    <w:rsid w:val="FFFBF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3"/>
    <w:qFormat/>
    <w:uiPriority w:val="0"/>
    <w:pPr>
      <w:shd w:val="clear" w:color="auto" w:fill="000080"/>
    </w:pPr>
  </w:style>
  <w:style w:type="paragraph" w:styleId="3">
    <w:name w:val="annotation text"/>
    <w:basedOn w:val="1"/>
    <w:link w:val="24"/>
    <w:qFormat/>
    <w:uiPriority w:val="0"/>
    <w:pPr>
      <w:jc w:val="left"/>
    </w:pPr>
  </w:style>
  <w:style w:type="paragraph" w:styleId="4">
    <w:name w:val="Body Text"/>
    <w:basedOn w:val="1"/>
    <w:link w:val="25"/>
    <w:qFormat/>
    <w:uiPriority w:val="0"/>
    <w:pPr>
      <w:spacing w:after="120"/>
    </w:pPr>
  </w:style>
  <w:style w:type="paragraph" w:styleId="5">
    <w:name w:val="Date"/>
    <w:basedOn w:val="1"/>
    <w:next w:val="1"/>
    <w:link w:val="26"/>
    <w:qFormat/>
    <w:uiPriority w:val="0"/>
    <w:pPr>
      <w:ind w:left="100" w:leftChars="2500"/>
    </w:pPr>
  </w:style>
  <w:style w:type="paragraph" w:styleId="6">
    <w:name w:val="endnote text"/>
    <w:basedOn w:val="1"/>
    <w:link w:val="27"/>
    <w:qFormat/>
    <w:uiPriority w:val="0"/>
    <w:pPr>
      <w:snapToGrid w:val="0"/>
      <w:jc w:val="left"/>
    </w:pPr>
  </w:style>
  <w:style w:type="paragraph" w:styleId="7">
    <w:name w:val="Balloon Text"/>
    <w:basedOn w:val="1"/>
    <w:semiHidden/>
    <w:qFormat/>
    <w:uiPriority w:val="0"/>
    <w:rPr>
      <w:sz w:val="18"/>
      <w:szCs w:val="18"/>
    </w:rPr>
  </w:style>
  <w:style w:type="paragraph" w:styleId="8">
    <w:name w:val="footer"/>
    <w:basedOn w:val="1"/>
    <w:link w:val="28"/>
    <w:qFormat/>
    <w:uiPriority w:val="99"/>
    <w:pPr>
      <w:tabs>
        <w:tab w:val="center" w:pos="4153"/>
        <w:tab w:val="right" w:pos="8306"/>
      </w:tabs>
      <w:snapToGrid w:val="0"/>
      <w:jc w:val="left"/>
    </w:pPr>
    <w:rPr>
      <w:sz w:val="18"/>
      <w:szCs w:val="18"/>
    </w:rPr>
  </w:style>
  <w:style w:type="paragraph" w:styleId="9">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left" w:pos="840"/>
        <w:tab w:val="right" w:leader="dot" w:pos="8296"/>
      </w:tabs>
      <w:jc w:val="center"/>
    </w:pPr>
    <w:rPr>
      <w:sz w:val="44"/>
      <w:szCs w:val="44"/>
    </w:rPr>
  </w:style>
  <w:style w:type="paragraph" w:styleId="11">
    <w:name w:val="footnote text"/>
    <w:basedOn w:val="1"/>
    <w:link w:val="30"/>
    <w:qFormat/>
    <w:uiPriority w:val="0"/>
    <w:pPr>
      <w:snapToGrid w:val="0"/>
      <w:jc w:val="left"/>
    </w:pPr>
    <w:rPr>
      <w:sz w:val="18"/>
      <w:szCs w:val="18"/>
    </w:rPr>
  </w:style>
  <w:style w:type="paragraph" w:styleId="12">
    <w:name w:val="annotation subject"/>
    <w:basedOn w:val="3"/>
    <w:next w:val="3"/>
    <w:link w:val="31"/>
    <w:qFormat/>
    <w:uiPriority w:val="0"/>
    <w:rPr>
      <w:b/>
      <w:bCs/>
    </w:rPr>
  </w:style>
  <w:style w:type="paragraph" w:styleId="13">
    <w:name w:val="Body Text First Indent"/>
    <w:basedOn w:val="4"/>
    <w:link w:val="32"/>
    <w:qFormat/>
    <w:uiPriority w:val="0"/>
    <w:pPr>
      <w:ind w:firstLine="420" w:firstLineChars="100"/>
    </w:pPr>
  </w:style>
  <w:style w:type="table" w:styleId="15">
    <w:name w:val="Table Grid"/>
    <w:basedOn w:val="1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7">
    <w:name w:val="Strong"/>
    <w:qFormat/>
    <w:uiPriority w:val="0"/>
    <w:rPr>
      <w:b/>
      <w:bCs/>
    </w:rPr>
  </w:style>
  <w:style w:type="character" w:styleId="18">
    <w:name w:val="endnote reference"/>
    <w:qFormat/>
    <w:uiPriority w:val="0"/>
    <w:rPr>
      <w:vertAlign w:val="superscript"/>
    </w:rPr>
  </w:style>
  <w:style w:type="character" w:styleId="19">
    <w:name w:val="page number"/>
    <w:qFormat/>
    <w:uiPriority w:val="0"/>
  </w:style>
  <w:style w:type="character" w:styleId="20">
    <w:name w:val="Hyperlink"/>
    <w:qFormat/>
    <w:uiPriority w:val="0"/>
    <w:rPr>
      <w:color w:val="0000FF"/>
      <w:u w:val="single"/>
    </w:rPr>
  </w:style>
  <w:style w:type="character" w:styleId="21">
    <w:name w:val="annotation reference"/>
    <w:qFormat/>
    <w:uiPriority w:val="0"/>
    <w:rPr>
      <w:sz w:val="21"/>
      <w:szCs w:val="21"/>
    </w:rPr>
  </w:style>
  <w:style w:type="character" w:styleId="22">
    <w:name w:val="footnote reference"/>
    <w:qFormat/>
    <w:uiPriority w:val="0"/>
    <w:rPr>
      <w:vertAlign w:val="superscript"/>
    </w:rPr>
  </w:style>
  <w:style w:type="character" w:customStyle="1" w:styleId="23">
    <w:name w:val="文档结构图 字符"/>
    <w:link w:val="2"/>
    <w:qFormat/>
    <w:uiPriority w:val="0"/>
    <w:rPr>
      <w:kern w:val="2"/>
      <w:sz w:val="21"/>
      <w:szCs w:val="24"/>
      <w:shd w:val="clear" w:color="auto" w:fill="000080"/>
    </w:rPr>
  </w:style>
  <w:style w:type="character" w:customStyle="1" w:styleId="24">
    <w:name w:val="批注文字 字符"/>
    <w:link w:val="3"/>
    <w:qFormat/>
    <w:uiPriority w:val="0"/>
    <w:rPr>
      <w:kern w:val="2"/>
      <w:sz w:val="21"/>
      <w:szCs w:val="24"/>
    </w:rPr>
  </w:style>
  <w:style w:type="character" w:customStyle="1" w:styleId="25">
    <w:name w:val="正文文本 字符"/>
    <w:link w:val="4"/>
    <w:qFormat/>
    <w:uiPriority w:val="0"/>
    <w:rPr>
      <w:kern w:val="2"/>
      <w:sz w:val="21"/>
      <w:szCs w:val="24"/>
    </w:rPr>
  </w:style>
  <w:style w:type="character" w:customStyle="1" w:styleId="26">
    <w:name w:val="日期 字符"/>
    <w:link w:val="5"/>
    <w:qFormat/>
    <w:uiPriority w:val="0"/>
    <w:rPr>
      <w:kern w:val="2"/>
      <w:sz w:val="21"/>
      <w:szCs w:val="24"/>
    </w:rPr>
  </w:style>
  <w:style w:type="character" w:customStyle="1" w:styleId="27">
    <w:name w:val="尾注文本 字符"/>
    <w:link w:val="6"/>
    <w:qFormat/>
    <w:uiPriority w:val="0"/>
    <w:rPr>
      <w:kern w:val="2"/>
      <w:sz w:val="21"/>
      <w:szCs w:val="24"/>
    </w:rPr>
  </w:style>
  <w:style w:type="character" w:customStyle="1" w:styleId="28">
    <w:name w:val="页脚 字符"/>
    <w:link w:val="8"/>
    <w:qFormat/>
    <w:uiPriority w:val="99"/>
    <w:rPr>
      <w:kern w:val="2"/>
      <w:sz w:val="18"/>
      <w:szCs w:val="18"/>
    </w:rPr>
  </w:style>
  <w:style w:type="character" w:customStyle="1" w:styleId="29">
    <w:name w:val="页眉 字符"/>
    <w:link w:val="9"/>
    <w:qFormat/>
    <w:uiPriority w:val="0"/>
    <w:rPr>
      <w:kern w:val="2"/>
      <w:sz w:val="18"/>
      <w:szCs w:val="18"/>
    </w:rPr>
  </w:style>
  <w:style w:type="character" w:customStyle="1" w:styleId="30">
    <w:name w:val="脚注文本 字符"/>
    <w:link w:val="11"/>
    <w:qFormat/>
    <w:uiPriority w:val="0"/>
    <w:rPr>
      <w:kern w:val="2"/>
      <w:sz w:val="18"/>
      <w:szCs w:val="18"/>
    </w:rPr>
  </w:style>
  <w:style w:type="character" w:customStyle="1" w:styleId="31">
    <w:name w:val="批注主题 字符"/>
    <w:link w:val="12"/>
    <w:qFormat/>
    <w:uiPriority w:val="0"/>
    <w:rPr>
      <w:b/>
      <w:bCs/>
      <w:kern w:val="2"/>
      <w:sz w:val="21"/>
      <w:szCs w:val="24"/>
    </w:rPr>
  </w:style>
  <w:style w:type="character" w:customStyle="1" w:styleId="32">
    <w:name w:val="正文文本首行缩进 字符"/>
    <w:link w:val="13"/>
    <w:qFormat/>
    <w:uiPriority w:val="0"/>
  </w:style>
  <w:style w:type="paragraph" w:customStyle="1" w:styleId="33">
    <w:name w:val="Char"/>
    <w:basedOn w:val="1"/>
    <w:qFormat/>
    <w:uiPriority w:val="0"/>
    <w:pPr>
      <w:widowControl/>
      <w:spacing w:after="160" w:line="240" w:lineRule="exact"/>
      <w:jc w:val="left"/>
    </w:pPr>
    <w:rPr>
      <w:rFonts w:ascii="Verdana" w:hAnsi="Verdana" w:eastAsia="黑体"/>
      <w:kern w:val="0"/>
      <w:sz w:val="24"/>
      <w:szCs w:val="20"/>
      <w:lang w:eastAsia="en-US"/>
    </w:rPr>
  </w:style>
  <w:style w:type="paragraph" w:customStyle="1" w:styleId="34">
    <w:name w:val="Char Char Char Char Char Char Char Char Char Char Char Char"/>
    <w:basedOn w:val="1"/>
    <w:qFormat/>
    <w:uiPriority w:val="0"/>
    <w:rPr>
      <w:rFonts w:ascii="宋体" w:hAnsi="宋体" w:cs="Courier New"/>
      <w:sz w:val="32"/>
      <w:szCs w:val="32"/>
    </w:rPr>
  </w:style>
  <w:style w:type="paragraph" w:customStyle="1" w:styleId="35">
    <w:name w:val="Char Char Char Char Char Char Char Char"/>
    <w:basedOn w:val="1"/>
    <w:next w:val="1"/>
    <w:qFormat/>
    <w:uiPriority w:val="0"/>
    <w:pPr>
      <w:widowControl/>
      <w:spacing w:after="160" w:line="240" w:lineRule="exact"/>
      <w:jc w:val="left"/>
    </w:pPr>
    <w:rPr>
      <w:rFonts w:ascii="Verdana" w:hAnsi="Verdana"/>
      <w:kern w:val="0"/>
      <w:sz w:val="20"/>
      <w:szCs w:val="20"/>
      <w:lang w:eastAsia="en-US"/>
    </w:rPr>
  </w:style>
  <w:style w:type="paragraph" w:customStyle="1" w:styleId="36">
    <w:name w:val="1"/>
    <w:basedOn w:val="1"/>
    <w:qFormat/>
    <w:uiPriority w:val="0"/>
    <w:rPr>
      <w:szCs w:val="20"/>
    </w:rPr>
  </w:style>
  <w:style w:type="paragraph" w:customStyle="1" w:styleId="37">
    <w:name w:val="Char Char Char"/>
    <w:basedOn w:val="1"/>
    <w:qFormat/>
    <w:uiPriority w:val="0"/>
    <w:pPr>
      <w:widowControl/>
      <w:adjustRightInd w:val="0"/>
      <w:snapToGrid w:val="0"/>
      <w:spacing w:line="800" w:lineRule="exact"/>
      <w:ind w:right="-111" w:firstLine="630" w:firstLineChars="196"/>
    </w:pPr>
    <w:rPr>
      <w:rFonts w:ascii="宋体" w:hAnsi="宋体" w:eastAsia="仿宋_GB2312" w:cs="Courier New"/>
      <w:b/>
      <w:sz w:val="32"/>
      <w:szCs w:val="32"/>
    </w:rPr>
  </w:style>
  <w:style w:type="paragraph" w:customStyle="1" w:styleId="38">
    <w:name w:val="Char Char Char Char"/>
    <w:basedOn w:val="1"/>
    <w:qFormat/>
    <w:uiPriority w:val="0"/>
    <w:rPr>
      <w:rFonts w:ascii="Tahoma" w:hAnsi="Tahoma"/>
      <w:sz w:val="24"/>
      <w:szCs w:val="20"/>
    </w:rPr>
  </w:style>
  <w:style w:type="paragraph" w:customStyle="1" w:styleId="39">
    <w:name w:val="Char Char Char Char1"/>
    <w:basedOn w:val="1"/>
    <w:qFormat/>
    <w:uiPriority w:val="0"/>
    <w:rPr>
      <w:rFonts w:ascii="Tahoma" w:hAnsi="Tahoma"/>
      <w:sz w:val="24"/>
      <w:szCs w:val="20"/>
    </w:rPr>
  </w:style>
  <w:style w:type="paragraph" w:customStyle="1" w:styleId="40">
    <w:name w:val="Char Char Char Char2"/>
    <w:basedOn w:val="2"/>
    <w:qFormat/>
    <w:uiPriority w:val="0"/>
    <w:pPr>
      <w:adjustRightInd w:val="0"/>
      <w:spacing w:line="436" w:lineRule="exact"/>
      <w:ind w:left="357"/>
      <w:jc w:val="left"/>
      <w:outlineLvl w:val="3"/>
    </w:pPr>
    <w:rPr>
      <w:rFonts w:ascii="Tahoma" w:hAnsi="Tahoma"/>
      <w:b/>
      <w:sz w:val="24"/>
      <w:szCs w:val="32"/>
    </w:rPr>
  </w:style>
  <w:style w:type="paragraph" w:customStyle="1" w:styleId="41">
    <w:name w:val="Char Char Char Char Char Char Char Char Char Char Char Char1"/>
    <w:basedOn w:val="1"/>
    <w:qFormat/>
    <w:uiPriority w:val="0"/>
    <w:rPr>
      <w:sz w:val="28"/>
      <w:szCs w:val="20"/>
    </w:rPr>
  </w:style>
  <w:style w:type="paragraph" w:customStyle="1" w:styleId="42">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3">
    <w:name w:val="Char Char Char Char Char Char Char Char Char Char Char Char1 Char"/>
    <w:basedOn w:val="1"/>
    <w:qFormat/>
    <w:uiPriority w:val="0"/>
    <w:pPr>
      <w:snapToGrid w:val="0"/>
      <w:spacing w:line="360" w:lineRule="auto"/>
      <w:ind w:firstLine="200" w:firstLineChars="200"/>
    </w:pPr>
    <w:rPr>
      <w:rFonts w:eastAsia="仿宋_GB2312"/>
      <w:sz w:val="24"/>
    </w:rPr>
  </w:style>
  <w:style w:type="paragraph" w:customStyle="1" w:styleId="44">
    <w:name w:val="Char1"/>
    <w:basedOn w:val="1"/>
    <w:qFormat/>
    <w:uiPriority w:val="0"/>
    <w:rPr>
      <w:szCs w:val="20"/>
    </w:rPr>
  </w:style>
  <w:style w:type="paragraph" w:customStyle="1" w:styleId="45">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46">
    <w:name w:val="修订3"/>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endnotes" Target="end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chart" Target="charts/chart9.xml"/><Relationship Id="rId14" Type="http://schemas.openxmlformats.org/officeDocument/2006/relationships/chart" Target="charts/chart8.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20844;&#21496;\&#36816;&#33829;&#19968;\20230316\&#32479;&#35745;&#23616;\&#26356;&#26032;-&#20462;&#25913;\&#65288;&#32534;&#36753;&#29992;&#65289;&#20316;&#22270;(1).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oleObject" Target="file:///D:\&#20844;&#21496;\&#36816;&#33829;&#19968;\20230316\&#32479;&#35745;&#23616;\&#26356;&#26032;-&#20462;&#25913;\&#65288;&#32534;&#36753;&#29992;&#65289;&#20316;&#22270;(1).xls"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1" Type="http://schemas.openxmlformats.org/officeDocument/2006/relationships/oleObject" Target="/home/bjtjj/.local/share/deepin/deepin-mail/mail/maildata/nomalconfig/mimetmp/00000006.&#65288;&#32534;&#36753;&#29992;&#65289;&#20316;&#2227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20844;&#21496;\&#36816;&#33829;&#19968;\20230316\&#32479;&#35745;&#23616;\&#26356;&#26032;-&#20462;&#25913;\&#65288;&#32534;&#36753;&#29992;&#65289;&#20316;&#22270;(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ome/bjtjj/Desktop/&#65288;&#32534;&#36753;&#29992;&#65289;&#20316;&#22270;.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20844;&#21496;\&#36816;&#33829;&#19968;\20230316\&#32479;&#35745;&#23616;\&#26356;&#26032;-&#20462;&#25913;\&#65288;&#32534;&#36753;&#29992;&#65289;&#20316;&#2227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885410010649627"/>
          <c:y val="0.123612622415669"/>
          <c:w val="0.863067092651757"/>
          <c:h val="0.641697497279652"/>
        </c:manualLayout>
      </c:layout>
      <c:barChart>
        <c:barDir val="col"/>
        <c:grouping val="clustered"/>
        <c:varyColors val="false"/>
        <c:ser>
          <c:idx val="0"/>
          <c:order val="0"/>
          <c:tx>
            <c:strRef>
              <c:f>表!$A$3</c:f>
              <c:strCache>
                <c:ptCount val="1"/>
                <c:pt idx="0">
                  <c:v>GDP </c:v>
                </c:pt>
              </c:strCache>
            </c:strRef>
          </c:tx>
          <c:spPr>
            <a:solidFill>
              <a:srgbClr val="99CCFF"/>
            </a:solidFill>
            <a:ln w="19050">
              <a:solidFill>
                <a:srgbClr val="000000"/>
              </a:solidFill>
            </a:ln>
            <a:effectLst>
              <a:softEdge rad="12700"/>
            </a:effectLst>
          </c:spPr>
          <c:invertIfNegative val="false"/>
          <c:dLbls>
            <c:spPr>
              <a:noFill/>
              <a:ln w="25400">
                <a:noFill/>
              </a:ln>
              <a:effectLst/>
            </c:spPr>
            <c:txPr>
              <a:bodyPr rot="0" spcFirstLastPara="0" vertOverflow="ellipsis" vert="horz" wrap="square" lIns="38100" tIns="19050" rIns="38100" bIns="19050" anchor="ctr" anchorCtr="true">
                <a:spAutoFit/>
              </a:bodyPr>
              <a:lstStyle/>
              <a:p>
                <a:pPr>
                  <a:defRPr lang="zh-CN" sz="1000" b="1" i="0" u="none" strike="noStrike" kern="1200" baseline="0">
                    <a:solidFill>
                      <a:srgbClr val="333333"/>
                    </a:solidFill>
                    <a:latin typeface="Times New Roman" charset="0"/>
                    <a:ea typeface="宋体" panose="02010600030101010101" charset="-122"/>
                    <a:cs typeface="宋体" panose="02010600030101010101" charset="-122"/>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numRef>
              <c:f>表!$B$2:$F$2</c:f>
              <c:numCache>
                <c:formatCode>General</c:formatCode>
                <c:ptCount val="5"/>
                <c:pt idx="0">
                  <c:v>2018</c:v>
                </c:pt>
                <c:pt idx="1">
                  <c:v>2019</c:v>
                </c:pt>
                <c:pt idx="2">
                  <c:v>2020</c:v>
                </c:pt>
                <c:pt idx="3">
                  <c:v>2021</c:v>
                </c:pt>
                <c:pt idx="4">
                  <c:v>2022</c:v>
                </c:pt>
              </c:numCache>
            </c:numRef>
          </c:cat>
          <c:val>
            <c:numRef>
              <c:f>表!$B$3:$F$3</c:f>
              <c:numCache>
                <c:formatCode>0.0_ </c:formatCode>
                <c:ptCount val="5"/>
                <c:pt idx="0">
                  <c:v>33106</c:v>
                </c:pt>
                <c:pt idx="1">
                  <c:v>35445.1</c:v>
                </c:pt>
                <c:pt idx="2">
                  <c:v>35943.3</c:v>
                </c:pt>
                <c:pt idx="3">
                  <c:v>41045.6</c:v>
                </c:pt>
                <c:pt idx="4">
                  <c:v>41610.9</c:v>
                </c:pt>
              </c:numCache>
            </c:numRef>
          </c:val>
        </c:ser>
        <c:dLbls>
          <c:showLegendKey val="false"/>
          <c:showVal val="false"/>
          <c:showCatName val="false"/>
          <c:showSerName val="false"/>
          <c:showPercent val="false"/>
          <c:showBubbleSize val="false"/>
        </c:dLbls>
        <c:gapWidth val="219"/>
        <c:overlap val="-27"/>
        <c:axId val="423393472"/>
        <c:axId val="1"/>
      </c:barChart>
      <c:lineChart>
        <c:grouping val="standard"/>
        <c:varyColors val="false"/>
        <c:ser>
          <c:idx val="1"/>
          <c:order val="1"/>
          <c:tx>
            <c:strRef>
              <c:f>表!$A$4</c:f>
              <c:strCache>
                <c:ptCount val="1"/>
                <c:pt idx="0">
                  <c:v>Growth rate over the previous year</c:v>
                </c:pt>
              </c:strCache>
            </c:strRef>
          </c:tx>
          <c:spPr>
            <a:ln w="12700" cap="flat" cmpd="sng" algn="ctr">
              <a:solidFill>
                <a:srgbClr val="1D1D7A"/>
              </a:solidFill>
              <a:prstDash val="solid"/>
              <a:bevel/>
            </a:ln>
            <a:effectLst/>
          </c:spPr>
          <c:marker>
            <c:symbol val="diamond"/>
            <c:size val="6"/>
            <c:spPr>
              <a:gradFill>
                <a:gsLst>
                  <a:gs pos="0">
                    <a:srgbClr val="1D1D7A">
                      <a:lumMod val="61000"/>
                      <a:alpha val="100000"/>
                    </a:srgbClr>
                  </a:gs>
                  <a:gs pos="100000">
                    <a:srgbClr val="0E2557"/>
                  </a:gs>
                </a:gsLst>
                <a:lin ang="5400000" scaled="false"/>
              </a:gradFill>
              <a:ln w="3175" cap="flat" cmpd="sng" algn="ctr">
                <a:solidFill>
                  <a:srgbClr val="1D1D7A"/>
                </a:solidFill>
                <a:prstDash val="solid"/>
                <a:bevel/>
              </a:ln>
              <a:effectLst/>
            </c:spPr>
          </c:marker>
          <c:dLbls>
            <c:dLbl>
              <c:idx val="3"/>
              <c:layout/>
              <c:numFmt formatCode="General" sourceLinked="true"/>
              <c:spPr>
                <a:noFill/>
                <a:ln w="3175">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t"/>
              <c:showLegendKey val="false"/>
              <c:showVal val="true"/>
              <c:showCatName val="false"/>
              <c:showSerName val="false"/>
              <c:showPercent val="false"/>
              <c:showBubbleSize val="false"/>
              <c:extLst>
                <c:ext xmlns:c15="http://schemas.microsoft.com/office/drawing/2012/chart" uri="{CE6537A1-D6FC-4f65-9D91-7224C49458BB}"/>
              </c:extLst>
            </c:dLbl>
            <c:spPr>
              <a:noFill/>
              <a:ln w="25400">
                <a:noFill/>
              </a:ln>
              <a:effectLst/>
            </c:spPr>
            <c:txPr>
              <a:bodyPr rot="0" spcFirstLastPara="0" vertOverflow="ellipsis" vert="horz" wrap="square" lIns="38100" tIns="19050" rIns="38100" bIns="19050" anchor="ctr" anchorCtr="true">
                <a:spAutoFit/>
              </a:bodyPr>
              <a:lstStyle/>
              <a:p>
                <a:pPr>
                  <a:defRPr lang="zh-CN" sz="1000" b="1"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t"/>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numRef>
              <c:f>表!$B$2:$F$2</c:f>
              <c:numCache>
                <c:formatCode>General</c:formatCode>
                <c:ptCount val="5"/>
                <c:pt idx="0">
                  <c:v>2018</c:v>
                </c:pt>
                <c:pt idx="1">
                  <c:v>2019</c:v>
                </c:pt>
                <c:pt idx="2">
                  <c:v>2020</c:v>
                </c:pt>
                <c:pt idx="3">
                  <c:v>2021</c:v>
                </c:pt>
                <c:pt idx="4">
                  <c:v>2022</c:v>
                </c:pt>
              </c:numCache>
            </c:numRef>
          </c:cat>
          <c:val>
            <c:numRef>
              <c:f>表!$B$4:$F$4</c:f>
              <c:numCache>
                <c:formatCode>0.0_ </c:formatCode>
                <c:ptCount val="5"/>
                <c:pt idx="0">
                  <c:v>6.7</c:v>
                </c:pt>
                <c:pt idx="1">
                  <c:v>6.09999999999999</c:v>
                </c:pt>
                <c:pt idx="2">
                  <c:v>1.1</c:v>
                </c:pt>
                <c:pt idx="3">
                  <c:v>8.8</c:v>
                </c:pt>
                <c:pt idx="4">
                  <c:v>0.7</c:v>
                </c:pt>
              </c:numCache>
            </c:numRef>
          </c:val>
          <c:smooth val="false"/>
        </c:ser>
        <c:dLbls>
          <c:showLegendKey val="false"/>
          <c:showVal val="false"/>
          <c:showCatName val="false"/>
          <c:showSerName val="false"/>
          <c:showPercent val="false"/>
          <c:showBubbleSize val="false"/>
        </c:dLbls>
        <c:marker val="true"/>
        <c:smooth val="false"/>
        <c:axId val="3"/>
        <c:axId val="4"/>
      </c:lineChart>
      <c:catAx>
        <c:axId val="423393472"/>
        <c:scaling>
          <c:orientation val="minMax"/>
        </c:scaling>
        <c:delete val="false"/>
        <c:axPos val="b"/>
        <c:numFmt formatCode="General" sourceLinked="true"/>
        <c:majorTickMark val="none"/>
        <c:minorTickMark val="none"/>
        <c:tickLblPos val="nextTo"/>
        <c:spPr>
          <a:ln w="3175" cap="flat" cmpd="sng" algn="ctr">
            <a:solidFill>
              <a:srgbClr val="000000"/>
            </a:solidFill>
            <a:prstDash val="solid"/>
            <a:round/>
          </a:ln>
        </c:spPr>
        <c:txPr>
          <a:bodyPr rot="0" spcFirstLastPara="0" vertOverflow="ellipsis" vert="horz" wrap="square" anchor="ctr" anchorCtr="true"/>
          <a:lstStyle/>
          <a:p>
            <a:pPr>
              <a:defRPr lang="zh-CN" sz="1000" b="1" i="0" u="none" strike="noStrike" kern="1200" baseline="0">
                <a:solidFill>
                  <a:srgbClr val="333333"/>
                </a:solidFill>
                <a:latin typeface="Times New Roman" charset="0"/>
                <a:ea typeface="宋体" panose="02010600030101010101" charset="-122"/>
                <a:cs typeface="宋体" panose="02010600030101010101" charset="-122"/>
              </a:defRPr>
            </a:pPr>
          </a:p>
        </c:txPr>
        <c:crossAx val="1"/>
        <c:crosses val="autoZero"/>
        <c:auto val="true"/>
        <c:lblAlgn val="ctr"/>
        <c:lblOffset val="100"/>
        <c:noMultiLvlLbl val="false"/>
      </c:catAx>
      <c:valAx>
        <c:axId val="1"/>
        <c:scaling>
          <c:orientation val="minMax"/>
          <c:max val="45000"/>
          <c:min val="0"/>
        </c:scaling>
        <c:delete val="false"/>
        <c:axPos val="l"/>
        <c:title>
          <c:tx>
            <c:rich>
              <a:bodyPr rot="0" spcFirstLastPara="0" vertOverflow="ellipsis" vert="horz" wrap="square" anchor="ctr" anchorCtr="true"/>
              <a:lstStyle/>
              <a:p>
                <a:pPr algn="ctr">
                  <a:defRPr lang="zh-CN" sz="800" b="1" i="0" u="none" strike="noStrike" kern="1200" cap="none" spc="0" normalizeH="0" baseline="0">
                    <a:solidFill>
                      <a:srgbClr val="333333"/>
                    </a:solidFill>
                    <a:uFill>
                      <a:solidFill>
                        <a:srgbClr val="333333"/>
                      </a:solidFill>
                    </a:uFill>
                    <a:latin typeface="宋体" panose="02010600030101010101" charset="-122"/>
                    <a:ea typeface="宋体" panose="02010600030101010101" charset="-122"/>
                    <a:cs typeface="宋体" panose="02010600030101010101" charset="-122"/>
                  </a:defRPr>
                </a:pPr>
                <a:r>
                  <a:rPr lang="en-US" altLang="zh-CN" sz="800" u="none" strike="noStrike" cap="none" normalizeH="0">
                    <a:solidFill>
                      <a:srgbClr val="333333"/>
                    </a:solidFill>
                    <a:uFill>
                      <a:solidFill>
                        <a:srgbClr val="333333"/>
                      </a:solidFill>
                    </a:uFill>
                    <a:latin typeface="宋体" panose="02010600030101010101" charset="-122"/>
                    <a:cs typeface="Times New Roman" charset="0"/>
                  </a:rPr>
                  <a:t>RMB</a:t>
                </a:r>
                <a:r>
                  <a:rPr lang="en-US" altLang="zh-CN" sz="800" u="none" strike="noStrike" cap="none" normalizeH="0" baseline="0">
                    <a:solidFill>
                      <a:srgbClr val="333333"/>
                    </a:solidFill>
                    <a:uFill>
                      <a:solidFill>
                        <a:srgbClr val="333333"/>
                      </a:solidFill>
                    </a:uFill>
                    <a:latin typeface="宋体" panose="02010600030101010101" charset="-122"/>
                    <a:cs typeface="Times New Roman" charset="0"/>
                  </a:rPr>
                  <a:t> 100 million</a:t>
                </a:r>
                <a:endParaRPr lang="zh-CN" altLang="en-US" sz="800" u="none" strike="noStrike" cap="none" normalizeH="0">
                  <a:solidFill>
                    <a:srgbClr val="333333"/>
                  </a:solidFill>
                  <a:uFill>
                    <a:solidFill>
                      <a:srgbClr val="333333"/>
                    </a:solidFill>
                  </a:uFill>
                  <a:latin typeface="宋体" panose="02010600030101010101" charset="-122"/>
                  <a:cs typeface="Times New Roman" charset="0"/>
                </a:endParaRPr>
              </a:p>
            </c:rich>
          </c:tx>
          <c:layout>
            <c:manualLayout>
              <c:xMode val="edge"/>
              <c:yMode val="edge"/>
              <c:x val="0.000528971847760311"/>
              <c:y val="0.0244417278415529"/>
            </c:manualLayout>
          </c:layout>
          <c:overlay val="false"/>
          <c:spPr>
            <a:noFill/>
            <a:ln w="3175">
              <a:noFill/>
            </a:ln>
          </c:spPr>
        </c:title>
        <c:numFmt formatCode="0_);[Red]\(0\)" sourceLinked="false"/>
        <c:majorTickMark val="in"/>
        <c:minorTickMark val="none"/>
        <c:tickLblPos val="nextTo"/>
        <c:spPr>
          <a:ln w="12700" cap="flat" cmpd="sng" algn="ctr">
            <a:solidFill>
              <a:srgbClr val="000000"/>
            </a:solidFill>
            <a:prstDash val="solid"/>
            <a:round/>
          </a:ln>
        </c:spPr>
        <c:txPr>
          <a:bodyPr rot="0" spcFirstLastPara="0" vertOverflow="ellipsis" vert="horz" wrap="square" anchor="ctr" anchorCtr="true"/>
          <a:lstStyle/>
          <a:p>
            <a:pPr>
              <a:defRPr lang="zh-CN" sz="1000" b="1"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423393472"/>
        <c:crosses val="autoZero"/>
        <c:crossBetween val="between"/>
        <c:majorUnit val="15000"/>
      </c:valAx>
      <c:catAx>
        <c:axId val="3"/>
        <c:scaling>
          <c:orientation val="minMax"/>
        </c:scaling>
        <c:delete val="true"/>
        <c:axPos val="b"/>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4"/>
        <c:crosses val="autoZero"/>
        <c:auto val="true"/>
        <c:lblAlgn val="ctr"/>
        <c:lblOffset val="100"/>
        <c:noMultiLvlLbl val="false"/>
      </c:catAx>
      <c:valAx>
        <c:axId val="4"/>
        <c:scaling>
          <c:orientation val="minMax"/>
          <c:max val="12"/>
        </c:scaling>
        <c:delete val="false"/>
        <c:axPos val="r"/>
        <c:title>
          <c:tx>
            <c:rich>
              <a:bodyPr rot="0" spcFirstLastPara="0" vertOverflow="ellipsis" vert="horz" wrap="square" anchor="ctr" anchorCtr="true"/>
              <a:lstStyle/>
              <a:p>
                <a:pPr algn="ctr">
                  <a:defRPr lang="zh-CN" sz="1000" b="1"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en-US" altLang="zh-CN"/>
                  <a:t>%</a:t>
                </a:r>
                <a:endParaRPr lang="en-US" altLang="zh-CN"/>
              </a:p>
            </c:rich>
          </c:tx>
          <c:layout>
            <c:manualLayout>
              <c:xMode val="edge"/>
              <c:yMode val="edge"/>
              <c:x val="0.961670842281078"/>
              <c:y val="0.0116481527828581"/>
            </c:manualLayout>
          </c:layout>
          <c:overlay val="false"/>
          <c:spPr>
            <a:noFill/>
            <a:ln w="3175">
              <a:noFill/>
            </a:ln>
          </c:spPr>
        </c:title>
        <c:numFmt formatCode="0_);[Red]\(0\)" sourceLinked="false"/>
        <c:majorTickMark val="in"/>
        <c:minorTickMark val="none"/>
        <c:tickLblPos val="nextTo"/>
        <c:spPr>
          <a:ln w="12700" cap="flat" cmpd="sng" algn="ctr">
            <a:solidFill>
              <a:srgbClr val="000000"/>
            </a:solidFill>
            <a:prstDash val="solid"/>
            <a:round/>
          </a:ln>
        </c:spPr>
        <c:txPr>
          <a:bodyPr rot="0" spcFirstLastPara="0" vertOverflow="ellipsis" vert="horz" wrap="square" anchor="ctr" anchorCtr="true"/>
          <a:lstStyle/>
          <a:p>
            <a:pPr>
              <a:defRPr lang="zh-CN" sz="1000" b="1" i="0" u="none" strike="noStrike" kern="1200" baseline="0">
                <a:solidFill>
                  <a:srgbClr val="333333"/>
                </a:solidFill>
                <a:latin typeface="Times New Roman" charset="0"/>
                <a:ea typeface="宋体" panose="02010600030101010101" charset="-122"/>
                <a:cs typeface="宋体" panose="02010600030101010101" charset="-122"/>
              </a:defRPr>
            </a:pPr>
          </a:p>
        </c:txPr>
        <c:crossAx val="3"/>
        <c:crosses val="max"/>
        <c:crossBetween val="between"/>
        <c:majorUnit val="4"/>
      </c:valAx>
      <c:spPr>
        <a:noFill/>
        <a:ln w="25400">
          <a:noFill/>
        </a:ln>
      </c:spPr>
    </c:plotArea>
    <c:legend>
      <c:legendPos val="r"/>
      <c:legendEntry>
        <c:idx val="0"/>
        <c:txPr>
          <a:bodyPr rot="0" spcFirstLastPara="0" vertOverflow="ellipsis" vert="horz" wrap="square" anchor="ctr" anchorCtr="true"/>
          <a:lstStyle/>
          <a:p>
            <a:pPr>
              <a:defRPr lang="zh-CN" sz="920" b="1" i="0" u="none" strike="noStrike" kern="1200" baseline="0">
                <a:solidFill>
                  <a:srgbClr val="333333"/>
                </a:solidFill>
                <a:latin typeface="Times New Roman" charset="0"/>
                <a:ea typeface="宋体" panose="02010600030101010101" charset="-122"/>
                <a:cs typeface="宋体" panose="02010600030101010101" charset="-122"/>
              </a:defRPr>
            </a:pPr>
          </a:p>
        </c:txPr>
      </c:legendEntry>
      <c:legendEntry>
        <c:idx val="1"/>
        <c:txPr>
          <a:bodyPr rot="0" spcFirstLastPara="0" vertOverflow="ellipsis" vert="horz" wrap="square" anchor="ctr" anchorCtr="true"/>
          <a:lstStyle/>
          <a:p>
            <a:pPr>
              <a:defRPr lang="zh-CN" sz="920" b="1" i="0" u="none" strike="noStrike" kern="1200" baseline="0">
                <a:solidFill>
                  <a:srgbClr val="333333"/>
                </a:solidFill>
                <a:latin typeface="Times New Roman" charset="0"/>
                <a:ea typeface="宋体" panose="02010600030101010101" charset="-122"/>
                <a:cs typeface="宋体" panose="02010600030101010101" charset="-122"/>
              </a:defRPr>
            </a:pPr>
          </a:p>
        </c:txPr>
      </c:legendEntry>
      <c:layout>
        <c:manualLayout>
          <c:xMode val="edge"/>
          <c:yMode val="edge"/>
          <c:x val="0.113284690460987"/>
          <c:y val="0.88992985416564"/>
          <c:w val="0.809994306592481"/>
          <c:h val="0.0521094276418381"/>
        </c:manualLayout>
      </c:layout>
      <c:overlay val="false"/>
      <c:spPr>
        <a:noFill/>
        <a:ln w="3175">
          <a:noFill/>
        </a:ln>
      </c:spPr>
      <c:txPr>
        <a:bodyPr rot="0" spcFirstLastPara="0" vertOverflow="ellipsis" vert="horz" wrap="square" anchor="ctr" anchorCtr="true"/>
        <a:lstStyle/>
        <a:p>
          <a:pPr>
            <a:defRPr lang="zh-CN" sz="920" b="1" i="0" u="none" strike="noStrike" kern="1200" baseline="0">
              <a:solidFill>
                <a:srgbClr val="333333"/>
              </a:solidFill>
              <a:latin typeface="Times New Roman" charset="0"/>
              <a:ea typeface="宋体" panose="02010600030101010101" charset="-122"/>
              <a:cs typeface="宋体" panose="02010600030101010101" charset="-122"/>
            </a:defRPr>
          </a:pPr>
        </a:p>
      </c:txPr>
    </c:legend>
    <c:plotVisOnly val="true"/>
    <c:dispBlanksAs val="gap"/>
    <c:showDLblsOverMax val="false"/>
  </c:chart>
  <c:spPr>
    <a:solidFill>
      <a:schemeClr val="bg1"/>
    </a:solidFill>
    <a:ln w="9525" cap="flat" cmpd="sng" algn="ctr">
      <a:noFill/>
      <a:prstDash val="solid"/>
      <a:round/>
    </a:ln>
    <a:effectLst/>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539792387543253"/>
          <c:y val="0.09975"/>
          <c:w val="0.93760092272203"/>
          <c:h val="0.68875"/>
        </c:manualLayout>
      </c:layout>
      <c:lineChart>
        <c:grouping val="standard"/>
        <c:varyColors val="false"/>
        <c:ser>
          <c:idx val="0"/>
          <c:order val="0"/>
          <c:tx>
            <c:strRef>
              <c:f>表!$H$3</c:f>
              <c:strCache>
                <c:ptCount val="1"/>
                <c:pt idx="0">
                  <c:v>Monthly year on year change</c:v>
                </c:pt>
              </c:strCache>
            </c:strRef>
          </c:tx>
          <c:spPr>
            <a:ln w="15875" cap="rnd" cmpd="sng" algn="ctr">
              <a:solidFill>
                <a:srgbClr val="00007F"/>
              </a:solidFill>
              <a:prstDash val="solid"/>
              <a:round/>
            </a:ln>
          </c:spPr>
          <c:marker>
            <c:spPr>
              <a:gradFill>
                <a:gsLst>
                  <a:gs pos="0">
                    <a:srgbClr val="00007F"/>
                  </a:gs>
                  <a:gs pos="100000">
                    <a:srgbClr val="0E2557"/>
                  </a:gs>
                </a:gsLst>
                <a:lin ang="5400000" scaled="false"/>
              </a:gradFill>
              <a:ln w="6350" cap="flat" cmpd="sng" algn="ctr">
                <a:solidFill>
                  <a:srgbClr val="002060"/>
                </a:solidFill>
                <a:prstDash val="solid"/>
                <a:round/>
              </a:ln>
            </c:spPr>
          </c:marker>
          <c:dLbls>
            <c:dLbl>
              <c:idx val="0"/>
              <c:layout/>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Times New Roman" charset="0"/>
                      <a:ea typeface="宋体" panose="02010600030101010101" charset="-122"/>
                      <a:cs typeface="宋体" panose="02010600030101010101" charset="-122"/>
                    </a:defRPr>
                  </a:pPr>
                </a:p>
              </c:txPr>
              <c:dLblPos val="t"/>
              <c:showLegendKey val="false"/>
              <c:showVal val="true"/>
              <c:showCatName val="false"/>
              <c:showSerName val="false"/>
              <c:showPercent val="false"/>
              <c:showBubbleSize val="false"/>
              <c:extLst>
                <c:ext xmlns:c15="http://schemas.microsoft.com/office/drawing/2012/chart" uri="{CE6537A1-D6FC-4f65-9D91-7224C49458BB}"/>
              </c:extLst>
            </c:dLbl>
            <c:dLbl>
              <c:idx val="1"/>
              <c:layout/>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Times New Roman" charset="0"/>
                      <a:ea typeface="宋体" panose="02010600030101010101" charset="-122"/>
                      <a:cs typeface="宋体" panose="02010600030101010101" charset="-122"/>
                    </a:defRPr>
                  </a:pPr>
                </a:p>
              </c:txPr>
              <c:dLblPos val="t"/>
              <c:showLegendKey val="false"/>
              <c:showVal val="true"/>
              <c:showCatName val="false"/>
              <c:showSerName val="false"/>
              <c:showPercent val="false"/>
              <c:showBubbleSize val="false"/>
              <c:extLst>
                <c:ext xmlns:c15="http://schemas.microsoft.com/office/drawing/2012/chart" uri="{CE6537A1-D6FC-4f65-9D91-7224C49458BB}"/>
              </c:extLst>
            </c:dLbl>
            <c:spPr>
              <a:noFill/>
              <a:ln w="25400">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Times New Roman" charset="0"/>
                    <a:ea typeface="宋体" panose="02010600030101010101" charset="-122"/>
                    <a:cs typeface="宋体" panose="02010600030101010101" charset="-122"/>
                  </a:defRPr>
                </a:pPr>
              </a:p>
            </c:txPr>
            <c:dLblPos val="t"/>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表!$I$2:$T$2</c:f>
              <c:strCache>
                <c:ptCount val="12"/>
                <c:pt idx="0">
                  <c:v>Jan.</c:v>
                </c:pt>
                <c:pt idx="1">
                  <c:v>Feb.</c:v>
                </c:pt>
                <c:pt idx="2">
                  <c:v>Mar.</c:v>
                </c:pt>
                <c:pt idx="3">
                  <c:v>Apr.</c:v>
                </c:pt>
                <c:pt idx="4">
                  <c:v>May</c:v>
                </c:pt>
                <c:pt idx="5">
                  <c:v>Jun.</c:v>
                </c:pt>
                <c:pt idx="6">
                  <c:v>Jul.</c:v>
                </c:pt>
                <c:pt idx="7">
                  <c:v>Aug.</c:v>
                </c:pt>
                <c:pt idx="8">
                  <c:v>Sept.</c:v>
                </c:pt>
                <c:pt idx="9">
                  <c:v>Oct.</c:v>
                </c:pt>
                <c:pt idx="10">
                  <c:v>Nov.</c:v>
                </c:pt>
                <c:pt idx="11">
                  <c:v>Dec.</c:v>
                </c:pt>
              </c:strCache>
            </c:strRef>
          </c:cat>
          <c:val>
            <c:numRef>
              <c:f>表!$I$3:$T$3</c:f>
              <c:numCache>
                <c:formatCode>0.0_ </c:formatCode>
                <c:ptCount val="12"/>
                <c:pt idx="0">
                  <c:v>1.3</c:v>
                </c:pt>
                <c:pt idx="1">
                  <c:v>1.2</c:v>
                </c:pt>
                <c:pt idx="2">
                  <c:v>1.8</c:v>
                </c:pt>
                <c:pt idx="3">
                  <c:v>2</c:v>
                </c:pt>
                <c:pt idx="4">
                  <c:v>2.2</c:v>
                </c:pt>
                <c:pt idx="5">
                  <c:v>2.48813533000001</c:v>
                </c:pt>
                <c:pt idx="6">
                  <c:v>2.09999999999999</c:v>
                </c:pt>
                <c:pt idx="7">
                  <c:v>1.86890665</c:v>
                </c:pt>
                <c:pt idx="8">
                  <c:v>2.09999999999999</c:v>
                </c:pt>
                <c:pt idx="9">
                  <c:v>1.3</c:v>
                </c:pt>
                <c:pt idx="10">
                  <c:v>1.2</c:v>
                </c:pt>
                <c:pt idx="11">
                  <c:v>1.8</c:v>
                </c:pt>
              </c:numCache>
            </c:numRef>
          </c:val>
          <c:smooth val="false"/>
        </c:ser>
        <c:ser>
          <c:idx val="1"/>
          <c:order val="1"/>
          <c:tx>
            <c:strRef>
              <c:f>表!$H$4</c:f>
              <c:strCache>
                <c:ptCount val="1"/>
                <c:pt idx="0">
                  <c:v>Monthly month on month change</c:v>
                </c:pt>
              </c:strCache>
            </c:strRef>
          </c:tx>
          <c:spPr>
            <a:ln w="15875" cap="rnd" cmpd="sng" algn="ctr">
              <a:solidFill>
                <a:srgbClr val="C00000"/>
              </a:solidFill>
              <a:prstDash val="solid"/>
              <a:round/>
            </a:ln>
          </c:spPr>
          <c:marker>
            <c:spPr>
              <a:solidFill>
                <a:srgbClr val="C00000"/>
              </a:solidFill>
              <a:ln w="6350" cap="flat" cmpd="sng" algn="ctr">
                <a:solidFill>
                  <a:srgbClr val="C00000"/>
                </a:solidFill>
                <a:prstDash val="solid"/>
                <a:round/>
              </a:ln>
            </c:spPr>
          </c:marker>
          <c:dLbls>
            <c:spPr>
              <a:noFill/>
              <a:ln w="25400">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Times New Roman" charset="0"/>
                    <a:ea typeface="宋体" panose="02010600030101010101" charset="-122"/>
                    <a:cs typeface="宋体" panose="02010600030101010101" charset="-122"/>
                  </a:defRPr>
                </a:pPr>
              </a:p>
            </c:txPr>
            <c:dLblPos val="b"/>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表!$I$2:$T$2</c:f>
              <c:strCache>
                <c:ptCount val="12"/>
                <c:pt idx="0">
                  <c:v>Jan.</c:v>
                </c:pt>
                <c:pt idx="1">
                  <c:v>Feb.</c:v>
                </c:pt>
                <c:pt idx="2">
                  <c:v>Mar.</c:v>
                </c:pt>
                <c:pt idx="3">
                  <c:v>Apr.</c:v>
                </c:pt>
                <c:pt idx="4">
                  <c:v>May</c:v>
                </c:pt>
                <c:pt idx="5">
                  <c:v>Jun.</c:v>
                </c:pt>
                <c:pt idx="6">
                  <c:v>Jul.</c:v>
                </c:pt>
                <c:pt idx="7">
                  <c:v>Aug.</c:v>
                </c:pt>
                <c:pt idx="8">
                  <c:v>Sept.</c:v>
                </c:pt>
                <c:pt idx="9">
                  <c:v>Oct.</c:v>
                </c:pt>
                <c:pt idx="10">
                  <c:v>Nov.</c:v>
                </c:pt>
                <c:pt idx="11">
                  <c:v>Dec.</c:v>
                </c:pt>
              </c:strCache>
            </c:strRef>
          </c:cat>
          <c:val>
            <c:numRef>
              <c:f>表!$I$4:$T$4</c:f>
              <c:numCache>
                <c:formatCode>0.0_ </c:formatCode>
                <c:ptCount val="12"/>
                <c:pt idx="0">
                  <c:v>0.200000000000003</c:v>
                </c:pt>
                <c:pt idx="1">
                  <c:v>0.400000000000006</c:v>
                </c:pt>
                <c:pt idx="2">
                  <c:v>0.299999999999997</c:v>
                </c:pt>
                <c:pt idx="3">
                  <c:v>0.299999999999997</c:v>
                </c:pt>
                <c:pt idx="4">
                  <c:v>0.0999999999999943</c:v>
                </c:pt>
                <c:pt idx="5">
                  <c:v>-0.1008207</c:v>
                </c:pt>
                <c:pt idx="6">
                  <c:v>0.299999999999997</c:v>
                </c:pt>
                <c:pt idx="7">
                  <c:v>-0.0578010899999981</c:v>
                </c:pt>
                <c:pt idx="8">
                  <c:v>0.11615741</c:v>
                </c:pt>
                <c:pt idx="9">
                  <c:v>0.0999999999999943</c:v>
                </c:pt>
                <c:pt idx="10">
                  <c:v>-0.0999999999999943</c:v>
                </c:pt>
                <c:pt idx="11">
                  <c:v>0.299999999999997</c:v>
                </c:pt>
              </c:numCache>
            </c:numRef>
          </c:val>
          <c:smooth val="false"/>
        </c:ser>
        <c:dLbls>
          <c:showLegendKey val="false"/>
          <c:showVal val="false"/>
          <c:showCatName val="false"/>
          <c:showSerName val="false"/>
          <c:showPercent val="false"/>
          <c:showBubbleSize val="false"/>
        </c:dLbls>
        <c:marker val="true"/>
        <c:smooth val="false"/>
        <c:axId val="391162160"/>
        <c:axId val="1"/>
      </c:lineChart>
      <c:catAx>
        <c:axId val="391162160"/>
        <c:scaling>
          <c:orientation val="minMax"/>
        </c:scaling>
        <c:delete val="false"/>
        <c:axPos val="b"/>
        <c:numFmt formatCode="General" sourceLinked="true"/>
        <c:majorTickMark val="none"/>
        <c:minorTickMark val="none"/>
        <c:tickLblPos val="low"/>
        <c:spPr>
          <a:noFill/>
          <a:ln w="9525" cap="flat" cmpd="sng" algn="ctr">
            <a:solidFill>
              <a:schemeClr val="tx1">
                <a:lumMod val="15000"/>
                <a:lumOff val="85000"/>
              </a:schemeClr>
            </a:solidFill>
            <a:prstDash val="solid"/>
            <a:round/>
          </a:ln>
          <a:effectLst/>
        </c:spPr>
        <c:txPr>
          <a:bodyPr rot="0" spcFirstLastPara="0" vertOverflow="ellipsis" vert="horz" wrap="square" anchor="ctr" anchorCtr="true"/>
          <a:lstStyle/>
          <a:p>
            <a:pPr>
              <a:defRPr lang="zh-CN" sz="1000" b="0" i="0" u="none" strike="noStrike" kern="1200" baseline="0">
                <a:solidFill>
                  <a:srgbClr val="000000"/>
                </a:solidFill>
                <a:latin typeface="Times New Roman" charset="0"/>
                <a:ea typeface="宋体" panose="02010600030101010101" charset="-122"/>
                <a:cs typeface="宋体" panose="02010600030101010101" charset="-122"/>
              </a:defRPr>
            </a:pPr>
          </a:p>
        </c:txPr>
        <c:crossAx val="1"/>
        <c:crossesAt val="0"/>
        <c:auto val="true"/>
        <c:lblAlgn val="ctr"/>
        <c:lblOffset val="100"/>
        <c:noMultiLvlLbl val="false"/>
      </c:catAx>
      <c:valAx>
        <c:axId val="1"/>
        <c:scaling>
          <c:orientation val="minMax"/>
          <c:max val="4"/>
          <c:min val="-2"/>
        </c:scaling>
        <c:delete val="false"/>
        <c:axPos val="l"/>
        <c:title>
          <c:tx>
            <c:rich>
              <a:bodyPr rot="0" spcFirstLastPara="0" vertOverflow="ellipsis" vert="horz" wrap="square" anchor="ctr" anchorCtr="true"/>
              <a:lstStyle/>
              <a:p>
                <a:pPr algn="ctr">
                  <a:defRPr lang="zh-CN" sz="1000" b="0" i="0" u="none" strike="noStrike" kern="1200" baseline="0">
                    <a:solidFill>
                      <a:srgbClr val="000000"/>
                    </a:solidFill>
                    <a:latin typeface="Times New Roman" charset="0"/>
                    <a:ea typeface="宋体" panose="02010600030101010101" charset="-122"/>
                    <a:cs typeface="宋体" panose="02010600030101010101" charset="-122"/>
                  </a:defRPr>
                </a:pPr>
                <a:r>
                  <a:rPr lang="en-US"/>
                  <a:t>%</a:t>
                </a:r>
                <a:endParaRPr lang="en-US"/>
              </a:p>
            </c:rich>
          </c:tx>
          <c:layout>
            <c:manualLayout>
              <c:xMode val="edge"/>
              <c:yMode val="edge"/>
              <c:x val="0.0107597303389993"/>
              <c:y val="0.00335396096189819"/>
            </c:manualLayout>
          </c:layout>
          <c:overlay val="false"/>
        </c:title>
        <c:numFmt formatCode="0_ " sourceLinked="false"/>
        <c:majorTickMark val="in"/>
        <c:minorTickMark val="none"/>
        <c:tickLblPos val="nextTo"/>
        <c:spPr>
          <a:ln w="3175" cap="flat" cmpd="sng" algn="ctr">
            <a:solidFill>
              <a:schemeClr val="bg1">
                <a:lumMod val="85000"/>
              </a:schemeClr>
            </a:solidFill>
            <a:prstDash val="solid"/>
            <a:round/>
          </a:ln>
        </c:spPr>
        <c:txPr>
          <a:bodyPr rot="0" spcFirstLastPara="0" vertOverflow="ellipsis" vert="horz" wrap="square" anchor="ctr" anchorCtr="true"/>
          <a:lstStyle/>
          <a:p>
            <a:pPr>
              <a:defRPr lang="zh-CN" sz="1000" b="0" i="0" u="none" strike="noStrike" kern="1200" baseline="0">
                <a:solidFill>
                  <a:srgbClr val="000000"/>
                </a:solidFill>
                <a:latin typeface="Times New Roman" charset="0"/>
                <a:ea typeface="宋体" panose="02010600030101010101" charset="-122"/>
                <a:cs typeface="宋体" panose="02010600030101010101" charset="-122"/>
              </a:defRPr>
            </a:pPr>
          </a:p>
        </c:txPr>
        <c:crossAx val="391162160"/>
        <c:crosses val="autoZero"/>
        <c:crossBetween val="between"/>
        <c:majorUnit val="2"/>
      </c:valAx>
      <c:spPr>
        <a:noFill/>
        <a:ln w="25400">
          <a:noFill/>
        </a:ln>
      </c:spPr>
    </c:plotArea>
    <c:legend>
      <c:legendPos val="r"/>
      <c:layout>
        <c:manualLayout>
          <c:xMode val="edge"/>
          <c:yMode val="edge"/>
          <c:x val="0.0909260778034999"/>
          <c:y val="0.896962470099848"/>
          <c:w val="0.859860076801128"/>
          <c:h val="0.0639389912532974"/>
        </c:manualLayout>
      </c:layout>
      <c:overlay val="false"/>
      <c:txPr>
        <a:bodyPr rot="0" spcFirstLastPara="0" vertOverflow="ellipsis" vert="horz" wrap="square" anchor="ctr" anchorCtr="true"/>
        <a:lstStyle/>
        <a:p>
          <a:pPr>
            <a:defRPr lang="zh-CN" sz="1000" b="0" i="0" u="none" strike="noStrike" kern="1200" baseline="0">
              <a:solidFill>
                <a:srgbClr val="000000"/>
              </a:solidFill>
              <a:latin typeface="Times New Roman" charset="0"/>
              <a:ea typeface="宋体" panose="02010600030101010101" charset="-122"/>
              <a:cs typeface="宋体" panose="02010600030101010101" charset="-122"/>
            </a:defRPr>
          </a:pPr>
        </a:p>
      </c:txPr>
    </c:legend>
    <c:plotVisOnly val="true"/>
    <c:dispBlanksAs val="gap"/>
    <c:showDLblsOverMax val="false"/>
  </c:chart>
  <c:spPr>
    <a:solidFill>
      <a:schemeClr val="bg1"/>
    </a:solidFill>
    <a:ln w="9525" cap="flat" cmpd="sng" algn="ctr">
      <a:noFill/>
      <a:prstDash val="solid"/>
      <a:round/>
    </a:ln>
    <a:effectLst/>
  </c:spPr>
  <c:txPr>
    <a:bodyPr/>
    <a:lstStyle/>
    <a:p>
      <a:pPr>
        <a:defRPr lang="zh-CN" sz="1000" b="0" i="0" u="none" strike="noStrike" baseline="0">
          <a:solidFill>
            <a:srgbClr val="000000"/>
          </a:solidFill>
          <a:latin typeface="Times New Roman" charset="0"/>
          <a:ea typeface="宋体" panose="02010600030101010101" charset="-122"/>
          <a:cs typeface="宋体" panose="02010600030101010101" charset="-122"/>
        </a:defRPr>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885410010649627"/>
          <c:y val="0.123612622415669"/>
          <c:w val="0.863067092651757"/>
          <c:h val="0.641697497279652"/>
        </c:manualLayout>
      </c:layout>
      <c:barChart>
        <c:barDir val="col"/>
        <c:grouping val="clustered"/>
        <c:varyColors val="false"/>
        <c:ser>
          <c:idx val="0"/>
          <c:order val="0"/>
          <c:tx>
            <c:strRef>
              <c:f>表!$A$8</c:f>
              <c:strCache>
                <c:ptCount val="1"/>
                <c:pt idx="0">
                  <c:v>Industrial added value</c:v>
                </c:pt>
              </c:strCache>
            </c:strRef>
          </c:tx>
          <c:spPr>
            <a:solidFill>
              <a:srgbClr val="99CCFF"/>
            </a:solidFill>
            <a:ln w="19050">
              <a:solidFill>
                <a:srgbClr val="000000"/>
              </a:solidFill>
            </a:ln>
            <a:effectLst>
              <a:softEdge rad="12700"/>
            </a:effectLst>
          </c:spPr>
          <c:invertIfNegative val="false"/>
          <c:dLbls>
            <c:spPr>
              <a:noFill/>
              <a:ln w="25400">
                <a:noFill/>
              </a:ln>
              <a:effectLst/>
            </c:spPr>
            <c:txPr>
              <a:bodyPr rot="0" spcFirstLastPara="0" vertOverflow="ellipsis" vert="horz" wrap="square" lIns="38100" tIns="19050" rIns="38100" bIns="19050" anchor="ctr" anchorCtr="true">
                <a:spAutoFit/>
              </a:bodyPr>
              <a:lstStyle/>
              <a:p>
                <a:pPr>
                  <a:defRPr lang="zh-CN" sz="1000" b="1" i="0" u="none" strike="noStrike" kern="1200" baseline="0">
                    <a:solidFill>
                      <a:srgbClr val="333333"/>
                    </a:solidFill>
                    <a:latin typeface="Times New Roman" charset="0"/>
                    <a:ea typeface="宋体" panose="02010600030101010101" charset="-122"/>
                    <a:cs typeface="宋体" panose="02010600030101010101" charset="-122"/>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numRef>
              <c:f>(表!$B$7:$F$7,表!$B$7:$F$7)</c:f>
              <c:numCache>
                <c:formatCode>General</c:formatCode>
                <c:ptCount val="10"/>
                <c:pt idx="0">
                  <c:v>2018</c:v>
                </c:pt>
                <c:pt idx="1">
                  <c:v>2019</c:v>
                </c:pt>
                <c:pt idx="2">
                  <c:v>2020</c:v>
                </c:pt>
                <c:pt idx="3">
                  <c:v>2021</c:v>
                </c:pt>
                <c:pt idx="4">
                  <c:v>2022</c:v>
                </c:pt>
                <c:pt idx="5">
                  <c:v>2018</c:v>
                </c:pt>
                <c:pt idx="6">
                  <c:v>2019</c:v>
                </c:pt>
                <c:pt idx="7">
                  <c:v>2020</c:v>
                </c:pt>
                <c:pt idx="8">
                  <c:v>2021</c:v>
                </c:pt>
                <c:pt idx="9">
                  <c:v>2022</c:v>
                </c:pt>
              </c:numCache>
            </c:numRef>
          </c:cat>
          <c:val>
            <c:numRef>
              <c:f>表!$B$8:$F$8</c:f>
              <c:numCache>
                <c:formatCode>0.0_ </c:formatCode>
                <c:ptCount val="5"/>
                <c:pt idx="0">
                  <c:v>4139.9</c:v>
                </c:pt>
                <c:pt idx="1">
                  <c:v>4243.3</c:v>
                </c:pt>
                <c:pt idx="2">
                  <c:v>4255.1</c:v>
                </c:pt>
                <c:pt idx="3">
                  <c:v>5855.1</c:v>
                </c:pt>
                <c:pt idx="4">
                  <c:v>5036.4</c:v>
                </c:pt>
              </c:numCache>
            </c:numRef>
          </c:val>
        </c:ser>
        <c:dLbls>
          <c:showLegendKey val="false"/>
          <c:showVal val="false"/>
          <c:showCatName val="false"/>
          <c:showSerName val="false"/>
          <c:showPercent val="false"/>
          <c:showBubbleSize val="false"/>
        </c:dLbls>
        <c:gapWidth val="219"/>
        <c:overlap val="-27"/>
        <c:axId val="393210544"/>
        <c:axId val="1"/>
      </c:barChart>
      <c:lineChart>
        <c:grouping val="standard"/>
        <c:varyColors val="false"/>
        <c:ser>
          <c:idx val="1"/>
          <c:order val="1"/>
          <c:tx>
            <c:strRef>
              <c:f>表!$A$9</c:f>
              <c:strCache>
                <c:ptCount val="1"/>
                <c:pt idx="0">
                  <c:v>Growth rate over the previous year</c:v>
                </c:pt>
              </c:strCache>
            </c:strRef>
          </c:tx>
          <c:spPr>
            <a:ln w="12700" cap="flat" cmpd="sng" algn="ctr">
              <a:solidFill>
                <a:srgbClr val="1D1D7A"/>
              </a:solidFill>
              <a:prstDash val="solid"/>
              <a:bevel/>
            </a:ln>
            <a:effectLst/>
          </c:spPr>
          <c:marker>
            <c:symbol val="diamond"/>
            <c:size val="6"/>
            <c:spPr>
              <a:gradFill>
                <a:gsLst>
                  <a:gs pos="0">
                    <a:srgbClr val="1D1D7A">
                      <a:lumMod val="61000"/>
                      <a:alpha val="100000"/>
                    </a:srgbClr>
                  </a:gs>
                  <a:gs pos="100000">
                    <a:srgbClr val="0E2557"/>
                  </a:gs>
                </a:gsLst>
                <a:lin ang="5400000" scaled="false"/>
              </a:gradFill>
              <a:ln w="3175" cap="flat" cmpd="sng" algn="ctr">
                <a:solidFill>
                  <a:srgbClr val="1D1D7A"/>
                </a:solidFill>
                <a:prstDash val="solid"/>
                <a:bevel/>
              </a:ln>
              <a:effectLst/>
            </c:spPr>
          </c:marker>
          <c:dLbls>
            <c:dLbl>
              <c:idx val="4"/>
              <c:layout/>
              <c:numFmt formatCode="General" sourceLinked="true"/>
              <c:spPr>
                <a:noFill/>
                <a:ln w="3175">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t"/>
              <c:showLegendKey val="false"/>
              <c:showVal val="true"/>
              <c:showCatName val="false"/>
              <c:showSerName val="false"/>
              <c:showPercent val="false"/>
              <c:showBubbleSize val="false"/>
              <c:extLst>
                <c:ext xmlns:c15="http://schemas.microsoft.com/office/drawing/2012/chart" uri="{CE6537A1-D6FC-4f65-9D91-7224C49458BB}"/>
              </c:extLst>
            </c:dLbl>
            <c:spPr>
              <a:noFill/>
              <a:ln w="25400">
                <a:noFill/>
              </a:ln>
              <a:effectLst/>
            </c:spPr>
            <c:txPr>
              <a:bodyPr rot="0" spcFirstLastPara="0" vertOverflow="ellipsis" vert="horz" wrap="square" lIns="38100" tIns="19050" rIns="38100" bIns="19050" anchor="ctr" anchorCtr="true">
                <a:spAutoFit/>
              </a:bodyPr>
              <a:lstStyle/>
              <a:p>
                <a:pPr>
                  <a:defRPr lang="zh-CN" sz="1000" b="1"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t"/>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numRef>
              <c:f>表!$B$7:$F$7</c:f>
              <c:numCache>
                <c:formatCode>General</c:formatCode>
                <c:ptCount val="5"/>
                <c:pt idx="0">
                  <c:v>2018</c:v>
                </c:pt>
                <c:pt idx="1">
                  <c:v>2019</c:v>
                </c:pt>
                <c:pt idx="2">
                  <c:v>2020</c:v>
                </c:pt>
                <c:pt idx="3">
                  <c:v>2021</c:v>
                </c:pt>
                <c:pt idx="4">
                  <c:v>2022</c:v>
                </c:pt>
              </c:numCache>
            </c:numRef>
          </c:cat>
          <c:val>
            <c:numRef>
              <c:f>表!$B$9:$F$9</c:f>
              <c:numCache>
                <c:formatCode>0.0_ </c:formatCode>
                <c:ptCount val="5"/>
                <c:pt idx="0">
                  <c:v>4</c:v>
                </c:pt>
                <c:pt idx="1">
                  <c:v>3</c:v>
                </c:pt>
                <c:pt idx="2">
                  <c:v>1.9</c:v>
                </c:pt>
                <c:pt idx="3">
                  <c:v>31.5</c:v>
                </c:pt>
                <c:pt idx="4">
                  <c:v>-14.6</c:v>
                </c:pt>
              </c:numCache>
            </c:numRef>
          </c:val>
          <c:smooth val="false"/>
        </c:ser>
        <c:dLbls>
          <c:showLegendKey val="false"/>
          <c:showVal val="false"/>
          <c:showCatName val="false"/>
          <c:showSerName val="false"/>
          <c:showPercent val="false"/>
          <c:showBubbleSize val="false"/>
        </c:dLbls>
        <c:marker val="true"/>
        <c:smooth val="false"/>
        <c:axId val="3"/>
        <c:axId val="4"/>
      </c:lineChart>
      <c:catAx>
        <c:axId val="393210544"/>
        <c:scaling>
          <c:orientation val="minMax"/>
        </c:scaling>
        <c:delete val="false"/>
        <c:axPos val="b"/>
        <c:numFmt formatCode="General" sourceLinked="true"/>
        <c:majorTickMark val="none"/>
        <c:minorTickMark val="none"/>
        <c:tickLblPos val="nextTo"/>
        <c:spPr>
          <a:ln w="3175" cap="flat" cmpd="sng" algn="ctr">
            <a:solidFill>
              <a:srgbClr val="000000"/>
            </a:solidFill>
            <a:prstDash val="solid"/>
            <a:round/>
          </a:ln>
        </c:spPr>
        <c:txPr>
          <a:bodyPr rot="0" spcFirstLastPara="0" vertOverflow="ellipsis" vert="horz" wrap="square" anchor="ctr" anchorCtr="true"/>
          <a:lstStyle/>
          <a:p>
            <a:pPr>
              <a:defRPr lang="zh-CN" sz="1000" b="1" i="0" u="none" strike="noStrike" kern="1200" baseline="0">
                <a:solidFill>
                  <a:srgbClr val="333333"/>
                </a:solidFill>
                <a:latin typeface="Times New Roman" charset="0"/>
                <a:ea typeface="宋体" panose="02010600030101010101" charset="-122"/>
                <a:cs typeface="宋体" panose="02010600030101010101" charset="-122"/>
              </a:defRPr>
            </a:pPr>
          </a:p>
        </c:txPr>
        <c:crossAx val="1"/>
        <c:crosses val="autoZero"/>
        <c:auto val="true"/>
        <c:lblAlgn val="ctr"/>
        <c:lblOffset val="100"/>
        <c:noMultiLvlLbl val="false"/>
      </c:catAx>
      <c:valAx>
        <c:axId val="1"/>
        <c:scaling>
          <c:orientation val="minMax"/>
          <c:max val="6000"/>
          <c:min val="0"/>
        </c:scaling>
        <c:delete val="false"/>
        <c:axPos val="l"/>
        <c:title>
          <c:tx>
            <c:rich>
              <a:bodyPr rot="0" spcFirstLastPara="0" vertOverflow="ellipsis" vert="horz" wrap="square" anchor="ctr" anchorCtr="true"/>
              <a:lstStyle/>
              <a:p>
                <a:pPr algn="ctr">
                  <a:defRPr lang="zh-CN" sz="1000" b="1"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en-US" altLang="zh-CN" sz="800" b="1">
                    <a:latin typeface="Times New Roman" charset="0"/>
                    <a:cs typeface="Times New Roman" charset="0"/>
                  </a:rPr>
                  <a:t>RMB</a:t>
                </a:r>
                <a:r>
                  <a:rPr lang="en-US" altLang="zh-CN" sz="800" b="1" baseline="0">
                    <a:latin typeface="Times New Roman" charset="0"/>
                    <a:cs typeface="Times New Roman" charset="0"/>
                  </a:rPr>
                  <a:t> 100 million</a:t>
                </a:r>
                <a:endParaRPr lang="zh-CN" altLang="en-US" sz="800" b="1">
                  <a:latin typeface="Times New Roman" charset="0"/>
                  <a:cs typeface="Times New Roman" charset="0"/>
                </a:endParaRPr>
              </a:p>
            </c:rich>
          </c:tx>
          <c:layout>
            <c:manualLayout>
              <c:xMode val="edge"/>
              <c:yMode val="edge"/>
              <c:x val="0.00155173493829751"/>
              <c:y val="0.0133552984004285"/>
            </c:manualLayout>
          </c:layout>
          <c:overlay val="false"/>
          <c:spPr>
            <a:noFill/>
            <a:ln w="3175">
              <a:noFill/>
            </a:ln>
          </c:spPr>
        </c:title>
        <c:numFmt formatCode="0_);[Red]\(0\)" sourceLinked="false"/>
        <c:majorTickMark val="in"/>
        <c:minorTickMark val="none"/>
        <c:tickLblPos val="nextTo"/>
        <c:spPr>
          <a:ln w="12700" cap="flat" cmpd="sng" algn="ctr">
            <a:solidFill>
              <a:srgbClr val="000000"/>
            </a:solidFill>
            <a:prstDash val="solid"/>
            <a:round/>
          </a:ln>
        </c:spPr>
        <c:txPr>
          <a:bodyPr rot="0" spcFirstLastPara="0" vertOverflow="ellipsis" vert="horz" wrap="square" anchor="ctr" anchorCtr="true"/>
          <a:lstStyle/>
          <a:p>
            <a:pPr>
              <a:defRPr lang="zh-CN" sz="1000" b="1"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393210544"/>
        <c:crosses val="autoZero"/>
        <c:crossBetween val="between"/>
        <c:majorUnit val="2000"/>
      </c:valAx>
      <c:catAx>
        <c:axId val="3"/>
        <c:scaling>
          <c:orientation val="minMax"/>
        </c:scaling>
        <c:delete val="true"/>
        <c:axPos val="b"/>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4"/>
        <c:crosses val="autoZero"/>
        <c:auto val="true"/>
        <c:lblAlgn val="ctr"/>
        <c:lblOffset val="100"/>
        <c:noMultiLvlLbl val="false"/>
      </c:catAx>
      <c:valAx>
        <c:axId val="4"/>
        <c:scaling>
          <c:orientation val="minMax"/>
          <c:max val="45"/>
          <c:min val="-15"/>
        </c:scaling>
        <c:delete val="false"/>
        <c:axPos val="r"/>
        <c:title>
          <c:tx>
            <c:rich>
              <a:bodyPr rot="0" spcFirstLastPara="0" vertOverflow="ellipsis" vert="horz" wrap="square" anchor="ctr" anchorCtr="true"/>
              <a:lstStyle/>
              <a:p>
                <a:pPr algn="ctr">
                  <a:defRPr lang="zh-CN" sz="1000" b="1"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en-US" altLang="zh-CN"/>
                  <a:t>%</a:t>
                </a:r>
                <a:endParaRPr lang="en-US" altLang="zh-CN"/>
              </a:p>
            </c:rich>
          </c:tx>
          <c:layout>
            <c:manualLayout>
              <c:xMode val="edge"/>
              <c:yMode val="edge"/>
              <c:x val="0.952826901094856"/>
              <c:y val="0.0181054243146369"/>
            </c:manualLayout>
          </c:layout>
          <c:overlay val="false"/>
          <c:spPr>
            <a:noFill/>
            <a:ln w="3175">
              <a:noFill/>
            </a:ln>
          </c:spPr>
        </c:title>
        <c:numFmt formatCode="General" sourceLinked="false"/>
        <c:majorTickMark val="in"/>
        <c:minorTickMark val="none"/>
        <c:tickLblPos val="nextTo"/>
        <c:spPr>
          <a:ln w="12700" cap="flat" cmpd="sng" algn="ctr">
            <a:solidFill>
              <a:srgbClr val="000000"/>
            </a:solidFill>
            <a:prstDash val="solid"/>
            <a:round/>
          </a:ln>
        </c:spPr>
        <c:txPr>
          <a:bodyPr rot="0" spcFirstLastPara="0" vertOverflow="ellipsis" vert="horz" wrap="square" anchor="ctr" anchorCtr="true"/>
          <a:lstStyle/>
          <a:p>
            <a:pPr>
              <a:defRPr lang="zh-CN" sz="1000" b="1" i="0" u="none" strike="noStrike" kern="1200" baseline="0">
                <a:solidFill>
                  <a:srgbClr val="333333"/>
                </a:solidFill>
                <a:latin typeface="Times New Roman" charset="0"/>
                <a:ea typeface="宋体" panose="02010600030101010101" charset="-122"/>
                <a:cs typeface="宋体" panose="02010600030101010101" charset="-122"/>
              </a:defRPr>
            </a:pPr>
          </a:p>
        </c:txPr>
        <c:crossAx val="3"/>
        <c:crosses val="max"/>
        <c:crossBetween val="between"/>
        <c:majorUnit val="20"/>
      </c:valAx>
      <c:spPr>
        <a:noFill/>
        <a:ln w="25400">
          <a:noFill/>
        </a:ln>
      </c:spPr>
    </c:plotArea>
    <c:legend>
      <c:legendPos val="r"/>
      <c:legendEntry>
        <c:idx val="0"/>
        <c:txPr>
          <a:bodyPr rot="0" spcFirstLastPara="0" vertOverflow="ellipsis" vert="horz" wrap="square" anchor="ctr" anchorCtr="true"/>
          <a:lstStyle/>
          <a:p>
            <a:pPr>
              <a:defRPr lang="zh-CN" sz="800" b="1" i="0" u="none" strike="noStrike" kern="1200" baseline="0">
                <a:solidFill>
                  <a:srgbClr val="333333"/>
                </a:solidFill>
                <a:latin typeface="Times New Roman" charset="0"/>
                <a:ea typeface="宋体" panose="02010600030101010101" charset="-122"/>
                <a:cs typeface="宋体" panose="02010600030101010101" charset="-122"/>
              </a:defRPr>
            </a:pPr>
          </a:p>
        </c:txPr>
      </c:legendEntry>
      <c:legendEntry>
        <c:idx val="1"/>
        <c:txPr>
          <a:bodyPr rot="0" spcFirstLastPara="0" vertOverflow="ellipsis" vert="horz" wrap="square" anchor="ctr" anchorCtr="true"/>
          <a:lstStyle/>
          <a:p>
            <a:pPr>
              <a:defRPr lang="zh-CN" sz="800" b="1" i="0" u="none" strike="noStrike" kern="1200" baseline="0">
                <a:solidFill>
                  <a:srgbClr val="333333"/>
                </a:solidFill>
                <a:latin typeface="Times New Roman" charset="0"/>
                <a:ea typeface="宋体" panose="02010600030101010101" charset="-122"/>
                <a:cs typeface="宋体" panose="02010600030101010101" charset="-122"/>
              </a:defRPr>
            </a:pPr>
          </a:p>
        </c:txPr>
      </c:legendEntry>
      <c:layout>
        <c:manualLayout>
          <c:xMode val="edge"/>
          <c:yMode val="edge"/>
          <c:x val="0.076568873824902"/>
          <c:y val="0.885175893096439"/>
          <c:w val="0.797585144084176"/>
          <c:h val="0.0763621549352126"/>
        </c:manualLayout>
      </c:layout>
      <c:overlay val="false"/>
      <c:spPr>
        <a:noFill/>
        <a:ln w="3175">
          <a:noFill/>
        </a:ln>
      </c:spPr>
      <c:txPr>
        <a:bodyPr rot="0" spcFirstLastPara="0" vertOverflow="ellipsis" vert="horz" wrap="square" anchor="ctr" anchorCtr="true"/>
        <a:lstStyle/>
        <a:p>
          <a:pPr>
            <a:defRPr lang="zh-CN" sz="800" b="1" i="0" u="none" strike="noStrike" kern="1200" baseline="0">
              <a:solidFill>
                <a:srgbClr val="333333"/>
              </a:solidFill>
              <a:latin typeface="Times New Roman" charset="0"/>
              <a:ea typeface="宋体" panose="02010600030101010101" charset="-122"/>
              <a:cs typeface="宋体" panose="02010600030101010101" charset="-122"/>
            </a:defRPr>
          </a:pPr>
        </a:p>
      </c:txPr>
    </c:legend>
    <c:plotVisOnly val="true"/>
    <c:dispBlanksAs val="gap"/>
    <c:showDLblsOverMax val="false"/>
  </c:chart>
  <c:spPr>
    <a:solidFill>
      <a:schemeClr val="bg1"/>
    </a:solidFill>
    <a:ln w="9525" cap="flat" cmpd="sng" algn="ctr">
      <a:noFill/>
      <a:prstDash val="solid"/>
      <a:round/>
    </a:ln>
    <a:effectLst/>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884986626351901"/>
          <c:y val="0.123641304347826"/>
          <c:w val="0.907663681823468"/>
          <c:h val="0.752989130434783"/>
        </c:manualLayout>
      </c:layout>
      <c:barChart>
        <c:barDir val="col"/>
        <c:grouping val="clustered"/>
        <c:varyColors val="false"/>
        <c:ser>
          <c:idx val="0"/>
          <c:order val="0"/>
          <c:tx>
            <c:strRef>
              <c:f>表!$A$13</c:f>
              <c:strCache>
                <c:ptCount val="1"/>
                <c:pt idx="0">
                  <c:v>绝对量</c:v>
                </c:pt>
              </c:strCache>
            </c:strRef>
          </c:tx>
          <c:spPr>
            <a:solidFill>
              <a:srgbClr val="99CCFF"/>
            </a:solidFill>
            <a:ln w="19050">
              <a:solidFill>
                <a:srgbClr val="000000"/>
              </a:solidFill>
            </a:ln>
            <a:effectLst>
              <a:softEdge rad="12700"/>
            </a:effectLst>
          </c:spPr>
          <c:invertIfNegative val="false"/>
          <c:dLbls>
            <c:spPr>
              <a:noFill/>
              <a:ln w="25400">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Times New Roman" charset="0"/>
                    <a:ea typeface="宋体" panose="02010600030101010101" charset="-122"/>
                    <a:cs typeface="宋体" panose="02010600030101010101" charset="-122"/>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numRef>
              <c:f>表!$B$12:$F$12</c:f>
              <c:numCache>
                <c:formatCode>General</c:formatCode>
                <c:ptCount val="5"/>
                <c:pt idx="0">
                  <c:v>2018</c:v>
                </c:pt>
                <c:pt idx="1">
                  <c:v>2019</c:v>
                </c:pt>
                <c:pt idx="2">
                  <c:v>2020</c:v>
                </c:pt>
                <c:pt idx="3">
                  <c:v>2021</c:v>
                </c:pt>
                <c:pt idx="4">
                  <c:v>2022</c:v>
                </c:pt>
              </c:numCache>
            </c:numRef>
          </c:cat>
          <c:val>
            <c:numRef>
              <c:f>表!$B$13:$F$13</c:f>
              <c:numCache>
                <c:formatCode>0.0_ </c:formatCode>
                <c:ptCount val="5"/>
                <c:pt idx="0">
                  <c:v>608.4</c:v>
                </c:pt>
                <c:pt idx="1">
                  <c:v>636.5</c:v>
                </c:pt>
                <c:pt idx="2">
                  <c:v>657</c:v>
                </c:pt>
                <c:pt idx="3">
                  <c:v>685</c:v>
                </c:pt>
                <c:pt idx="4">
                  <c:v>712.8</c:v>
                </c:pt>
              </c:numCache>
            </c:numRef>
          </c:val>
        </c:ser>
        <c:dLbls>
          <c:showLegendKey val="false"/>
          <c:showVal val="false"/>
          <c:showCatName val="false"/>
          <c:showSerName val="false"/>
          <c:showPercent val="false"/>
          <c:showBubbleSize val="false"/>
        </c:dLbls>
        <c:gapWidth val="219"/>
        <c:overlap val="-27"/>
        <c:axId val="393209464"/>
        <c:axId val="1"/>
      </c:barChart>
      <c:catAx>
        <c:axId val="393209464"/>
        <c:scaling>
          <c:orientation val="minMax"/>
        </c:scaling>
        <c:delete val="false"/>
        <c:axPos val="b"/>
        <c:numFmt formatCode="General" sourceLinked="true"/>
        <c:majorTickMark val="none"/>
        <c:minorTickMark val="none"/>
        <c:tickLblPos val="nextTo"/>
        <c:spPr>
          <a:ln w="3175" cap="flat" cmpd="sng" algn="ctr">
            <a:solidFill>
              <a:srgbClr val="000000"/>
            </a:solidFill>
            <a:prstDash val="solid"/>
            <a:round/>
          </a:ln>
        </c:spPr>
        <c:txPr>
          <a:bodyPr rot="0" spcFirstLastPara="0" vertOverflow="ellipsis" vert="horz" wrap="square" anchor="ctr" anchorCtr="true"/>
          <a:lstStyle/>
          <a:p>
            <a:pPr>
              <a:defRPr lang="zh-CN" sz="1000" b="0" i="0" u="none" strike="noStrike" kern="1200" baseline="0">
                <a:solidFill>
                  <a:srgbClr val="000000"/>
                </a:solidFill>
                <a:latin typeface="Times New Roman" charset="0"/>
                <a:ea typeface="宋体" panose="02010600030101010101" charset="-122"/>
                <a:cs typeface="宋体" panose="02010600030101010101" charset="-122"/>
              </a:defRPr>
            </a:pPr>
          </a:p>
        </c:txPr>
        <c:crossAx val="1"/>
        <c:crosses val="autoZero"/>
        <c:auto val="true"/>
        <c:lblAlgn val="ctr"/>
        <c:lblOffset val="100"/>
        <c:noMultiLvlLbl val="false"/>
      </c:catAx>
      <c:valAx>
        <c:axId val="1"/>
        <c:scaling>
          <c:orientation val="minMax"/>
          <c:max val="800"/>
          <c:min val="0"/>
        </c:scaling>
        <c:delete val="false"/>
        <c:axPos val="l"/>
        <c:title>
          <c:tx>
            <c:rich>
              <a:bodyPr rot="0" spcFirstLastPara="0" vertOverflow="ellipsis" vert="horz" wrap="square" anchor="ctr" anchorCtr="true"/>
              <a:lstStyle/>
              <a:p>
                <a:pPr algn="ctr">
                  <a:defRPr lang="zh-CN" sz="700" b="0" i="0" u="none" strike="noStrike" kern="1200" cap="none" spc="0" normalizeH="0" baseline="0">
                    <a:solidFill>
                      <a:srgbClr val="000000"/>
                    </a:solidFill>
                    <a:uFill>
                      <a:solidFill>
                        <a:srgbClr val="000000"/>
                      </a:solidFill>
                    </a:uFill>
                    <a:latin typeface="Times New Roman" charset="0"/>
                    <a:ea typeface="宋体" panose="02010600030101010101" charset="-122"/>
                    <a:cs typeface="宋体" panose="02010600030101010101" charset="-122"/>
                  </a:defRPr>
                </a:pPr>
                <a:r>
                  <a:rPr lang="en-US" sz="700" u="none" strike="noStrike" cap="none" normalizeH="0">
                    <a:solidFill>
                      <a:srgbClr val="000000"/>
                    </a:solidFill>
                    <a:uFill>
                      <a:solidFill>
                        <a:srgbClr val="000000"/>
                      </a:solidFill>
                    </a:uFill>
                  </a:rPr>
                  <a:t>10,000 automobiles</a:t>
                </a:r>
                <a:endParaRPr lang="zh-CN" sz="700" u="none" strike="noStrike" cap="none" normalizeH="0">
                  <a:solidFill>
                    <a:srgbClr val="000000"/>
                  </a:solidFill>
                  <a:uFill>
                    <a:solidFill>
                      <a:srgbClr val="000000"/>
                    </a:solidFill>
                  </a:uFill>
                </a:endParaRPr>
              </a:p>
            </c:rich>
          </c:tx>
          <c:layout>
            <c:manualLayout>
              <c:xMode val="edge"/>
              <c:yMode val="edge"/>
              <c:x val="0.00378835711579745"/>
              <c:y val="0.0225656119695855"/>
            </c:manualLayout>
          </c:layout>
          <c:overlay val="false"/>
          <c:spPr>
            <a:noFill/>
            <a:ln w="3175">
              <a:noFill/>
            </a:ln>
          </c:spPr>
        </c:title>
        <c:numFmt formatCode="0_);[Red]\(0\)" sourceLinked="false"/>
        <c:majorTickMark val="in"/>
        <c:minorTickMark val="none"/>
        <c:tickLblPos val="nextTo"/>
        <c:spPr>
          <a:ln w="12700" cap="flat" cmpd="sng" algn="ctr">
            <a:solidFill>
              <a:srgbClr val="000000"/>
            </a:solidFill>
            <a:prstDash val="solid"/>
            <a:round/>
          </a:ln>
        </c:spPr>
        <c:txPr>
          <a:bodyPr rot="0" spcFirstLastPara="0" vertOverflow="ellipsis" vert="horz" wrap="square" anchor="ctr" anchorCtr="true"/>
          <a:lstStyle/>
          <a:p>
            <a:pPr>
              <a:defRPr lang="zh-CN" sz="1000" b="0" i="0" u="none" strike="noStrike" kern="1200" baseline="0">
                <a:solidFill>
                  <a:srgbClr val="000000"/>
                </a:solidFill>
                <a:latin typeface="Times New Roman" charset="0"/>
                <a:ea typeface="宋体" panose="02010600030101010101" charset="-122"/>
                <a:cs typeface="宋体" panose="02010600030101010101" charset="-122"/>
              </a:defRPr>
            </a:pPr>
          </a:p>
        </c:txPr>
        <c:crossAx val="393209464"/>
        <c:crosses val="autoZero"/>
        <c:crossBetween val="between"/>
        <c:majorUnit val="200"/>
      </c:valAx>
      <c:spPr>
        <a:noFill/>
        <a:ln w="25400">
          <a:noFill/>
        </a:ln>
      </c:spPr>
    </c:plotArea>
    <c:plotVisOnly val="true"/>
    <c:dispBlanksAs val="gap"/>
    <c:showDLblsOverMax val="false"/>
  </c:chart>
  <c:spPr>
    <a:solidFill>
      <a:schemeClr val="bg1"/>
    </a:solidFill>
    <a:ln w="9525" cap="flat" cmpd="sng" algn="ctr">
      <a:noFill/>
      <a:prstDash val="solid"/>
      <a:round/>
    </a:ln>
    <a:effectLst/>
  </c:spPr>
  <c:txPr>
    <a:bodyPr/>
    <a:lstStyle/>
    <a:p>
      <a:pPr>
        <a:defRPr lang="zh-CN" sz="1000" b="0" i="0" u="none" strike="noStrike" baseline="0">
          <a:solidFill>
            <a:srgbClr val="000000"/>
          </a:solidFill>
          <a:latin typeface="Times New Roman" charset="0"/>
          <a:ea typeface="宋体" panose="02010600030101010101" charset="-122"/>
          <a:cs typeface="宋体" panose="02010600030101010101" charset="-122"/>
        </a:defRPr>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885410010649627"/>
          <c:y val="0.123612622415669"/>
          <c:w val="0.863067092651757"/>
          <c:h val="0.641697497279652"/>
        </c:manualLayout>
      </c:layout>
      <c:barChart>
        <c:barDir val="col"/>
        <c:grouping val="clustered"/>
        <c:varyColors val="false"/>
        <c:ser>
          <c:idx val="0"/>
          <c:order val="0"/>
          <c:tx>
            <c:strRef>
              <c:f>表!$A$17</c:f>
              <c:strCache>
                <c:ptCount val="1"/>
                <c:pt idx="0">
                  <c:v>Total retail sales of consumer goods</c:v>
                </c:pt>
              </c:strCache>
            </c:strRef>
          </c:tx>
          <c:spPr>
            <a:solidFill>
              <a:srgbClr val="99CCFF"/>
            </a:solidFill>
            <a:ln w="19050">
              <a:solidFill>
                <a:srgbClr val="000000"/>
              </a:solidFill>
            </a:ln>
            <a:effectLst>
              <a:softEdge rad="12700"/>
            </a:effectLst>
          </c:spPr>
          <c:invertIfNegative val="false"/>
          <c:dLbls>
            <c:dLbl>
              <c:idx val="0"/>
              <c:layout>
                <c:manualLayout>
                  <c:x val="0.00197720400093045"/>
                  <c:y val="0.027724925251427"/>
                </c:manualLayout>
              </c:layout>
              <c:numFmt formatCode="General" sourceLinked="true"/>
              <c:spPr>
                <a:noFill/>
                <a:ln w="3175">
                  <a:noFill/>
                </a:ln>
                <a:effectLst/>
              </c:spPr>
              <c:txPr>
                <a:bodyPr rot="0" spcFirstLastPara="0" vertOverflow="ellipsis" vert="horz" wrap="square" lIns="38100" tIns="19050" rIns="38100" bIns="19050" anchor="ctr" anchorCtr="true"/>
                <a:lstStyle/>
                <a:p>
                  <a:pPr>
                    <a:defRPr lang="zh-CN" sz="1000" b="1"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true">
                <a:spAutoFit/>
              </a:bodyPr>
              <a:lstStyle/>
              <a:p>
                <a:pPr>
                  <a:defRPr lang="zh-CN" sz="1000" b="1"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numRef>
              <c:f>表!$B$16:$F$16</c:f>
              <c:numCache>
                <c:formatCode>General</c:formatCode>
                <c:ptCount val="5"/>
                <c:pt idx="0">
                  <c:v>2018</c:v>
                </c:pt>
                <c:pt idx="1">
                  <c:v>2019</c:v>
                </c:pt>
                <c:pt idx="2">
                  <c:v>2020</c:v>
                </c:pt>
                <c:pt idx="3">
                  <c:v>2021</c:v>
                </c:pt>
                <c:pt idx="4">
                  <c:v>2022</c:v>
                </c:pt>
              </c:numCache>
            </c:numRef>
          </c:cat>
          <c:val>
            <c:numRef>
              <c:f>表!$B$17:$F$17</c:f>
              <c:numCache>
                <c:formatCode>0.0_ </c:formatCode>
                <c:ptCount val="5"/>
                <c:pt idx="0">
                  <c:v>14422.2934827999</c:v>
                </c:pt>
                <c:pt idx="1">
                  <c:v>15063.6524</c:v>
                </c:pt>
                <c:pt idx="2">
                  <c:v>13716.4</c:v>
                </c:pt>
                <c:pt idx="3">
                  <c:v>14867.7</c:v>
                </c:pt>
                <c:pt idx="4">
                  <c:v>13794.2</c:v>
                </c:pt>
              </c:numCache>
            </c:numRef>
          </c:val>
        </c:ser>
        <c:dLbls>
          <c:showLegendKey val="false"/>
          <c:showVal val="false"/>
          <c:showCatName val="false"/>
          <c:showSerName val="false"/>
          <c:showPercent val="false"/>
          <c:showBubbleSize val="false"/>
        </c:dLbls>
        <c:gapWidth val="219"/>
        <c:overlap val="-27"/>
        <c:axId val="393483264"/>
        <c:axId val="1"/>
      </c:barChart>
      <c:lineChart>
        <c:grouping val="standard"/>
        <c:varyColors val="false"/>
        <c:ser>
          <c:idx val="1"/>
          <c:order val="1"/>
          <c:tx>
            <c:strRef>
              <c:f>表!$A$18</c:f>
              <c:strCache>
                <c:ptCount val="1"/>
                <c:pt idx="0">
                  <c:v>Growth rate over the previous year</c:v>
                </c:pt>
              </c:strCache>
            </c:strRef>
          </c:tx>
          <c:spPr>
            <a:ln w="12700" cap="flat" cmpd="sng" algn="ctr">
              <a:solidFill>
                <a:srgbClr val="1D1D7A"/>
              </a:solidFill>
              <a:prstDash val="solid"/>
              <a:bevel/>
            </a:ln>
            <a:effectLst/>
          </c:spPr>
          <c:marker>
            <c:symbol val="diamond"/>
            <c:size val="6"/>
            <c:spPr>
              <a:gradFill>
                <a:gsLst>
                  <a:gs pos="0">
                    <a:srgbClr val="1D1D7A">
                      <a:lumMod val="61000"/>
                      <a:alpha val="100000"/>
                    </a:srgbClr>
                  </a:gs>
                  <a:gs pos="100000">
                    <a:srgbClr val="0E2557"/>
                  </a:gs>
                </a:gsLst>
                <a:lin ang="5400000" scaled="false"/>
              </a:gradFill>
              <a:ln w="3175" cap="flat" cmpd="sng" algn="ctr">
                <a:solidFill>
                  <a:srgbClr val="1D1D7A"/>
                </a:solidFill>
                <a:prstDash val="solid"/>
                <a:bevel/>
              </a:ln>
              <a:effectLst/>
            </c:spPr>
          </c:marker>
          <c:dLbls>
            <c:dLbl>
              <c:idx val="0"/>
              <c:layout/>
              <c:numFmt formatCode="General" sourceLinked="true"/>
              <c:spPr>
                <a:noFill/>
                <a:ln w="3175">
                  <a:noFill/>
                </a:ln>
                <a:effectLst/>
              </c:spPr>
              <c:txPr>
                <a:bodyPr rot="0" spcFirstLastPara="0" vertOverflow="ellipsis" vert="horz" wrap="square" lIns="38100" tIns="19050" rIns="38100" bIns="19050" anchor="ctr" anchorCtr="true"/>
                <a:lstStyle/>
                <a:p>
                  <a:pPr>
                    <a:defRPr lang="zh-CN" sz="1000" b="1"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t"/>
              <c:showLegendKey val="false"/>
              <c:showVal val="true"/>
              <c:showCatName val="false"/>
              <c:showSerName val="false"/>
              <c:showPercent val="false"/>
              <c:showBubbleSize val="false"/>
              <c:extLst>
                <c:ext xmlns:c15="http://schemas.microsoft.com/office/drawing/2012/chart" uri="{CE6537A1-D6FC-4f65-9D91-7224C49458BB}"/>
              </c:extLst>
            </c:dLbl>
            <c:dLbl>
              <c:idx val="3"/>
              <c:layout>
                <c:manualLayout>
                  <c:x val="-0.0376192956665428"/>
                  <c:y val="0.0994238365487214"/>
                </c:manualLayout>
              </c:layout>
              <c:numFmt formatCode="General" sourceLinked="true"/>
              <c:spPr>
                <a:noFill/>
                <a:ln w="3175">
                  <a:noFill/>
                </a:ln>
                <a:effectLst/>
              </c:spPr>
              <c:txPr>
                <a:bodyPr rot="0" spcFirstLastPara="0" vertOverflow="ellipsis" vert="horz" wrap="square" lIns="38100" tIns="19050" rIns="38100" bIns="19050" anchor="ctr" anchorCtr="true"/>
                <a:lstStyle/>
                <a:p>
                  <a:pPr>
                    <a:defRPr lang="zh-CN" sz="1000" b="1"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numFmt formatCode="General" sourceLinked="true"/>
              <c:spPr>
                <a:noFill/>
                <a:ln>
                  <a:noFill/>
                </a:ln>
                <a:effectLst/>
              </c:spPr>
              <c:txPr>
                <a:bodyPr rot="0" spcFirstLastPara="0" vertOverflow="ellipsis" vert="horz" wrap="square" lIns="38100" tIns="19050" rIns="38100" bIns="19050" anchor="ctr" anchorCtr="true"/>
                <a:lstStyle/>
                <a:p>
                  <a:pPr>
                    <a:defRPr lang="zh-CN" sz="1000" b="1"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t"/>
              <c:showLegendKey val="false"/>
              <c:showVal val="true"/>
              <c:showCatName val="false"/>
              <c:showSerName val="false"/>
              <c:showPercent val="false"/>
              <c:showBubbleSize val="false"/>
              <c:extLst>
                <c:ext xmlns:c15="http://schemas.microsoft.com/office/drawing/2012/chart" uri="{CE6537A1-D6FC-4f65-9D91-7224C49458BB}"/>
              </c:extLst>
            </c:dLbl>
            <c:spPr>
              <a:noFill/>
              <a:ln w="25400">
                <a:noFill/>
              </a:ln>
              <a:effectLst/>
            </c:spPr>
            <c:txPr>
              <a:bodyPr rot="0" spcFirstLastPara="0" vertOverflow="ellipsis" vert="horz" wrap="square" lIns="38100" tIns="19050" rIns="38100" bIns="19050" anchor="ctr" anchorCtr="true">
                <a:spAutoFit/>
              </a:bodyPr>
              <a:lstStyle/>
              <a:p>
                <a:pPr>
                  <a:defRPr lang="zh-CN" sz="1000" b="1"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t"/>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numRef>
              <c:f>表!$B$16:$F$16</c:f>
              <c:numCache>
                <c:formatCode>General</c:formatCode>
                <c:ptCount val="5"/>
                <c:pt idx="0">
                  <c:v>2018</c:v>
                </c:pt>
                <c:pt idx="1">
                  <c:v>2019</c:v>
                </c:pt>
                <c:pt idx="2">
                  <c:v>2020</c:v>
                </c:pt>
                <c:pt idx="3">
                  <c:v>2021</c:v>
                </c:pt>
                <c:pt idx="4">
                  <c:v>2022</c:v>
                </c:pt>
              </c:numCache>
            </c:numRef>
          </c:cat>
          <c:val>
            <c:numRef>
              <c:f>表!$B$18:$F$18</c:f>
              <c:numCache>
                <c:formatCode>0.0_ </c:formatCode>
                <c:ptCount val="5"/>
                <c:pt idx="0">
                  <c:v>3.50623729468413</c:v>
                </c:pt>
                <c:pt idx="1">
                  <c:v>4.44699671355997</c:v>
                </c:pt>
                <c:pt idx="2">
                  <c:v>-8.9</c:v>
                </c:pt>
                <c:pt idx="3">
                  <c:v>8.4</c:v>
                </c:pt>
                <c:pt idx="4">
                  <c:v>-7.2</c:v>
                </c:pt>
              </c:numCache>
            </c:numRef>
          </c:val>
          <c:smooth val="false"/>
        </c:ser>
        <c:dLbls>
          <c:showLegendKey val="false"/>
          <c:showVal val="false"/>
          <c:showCatName val="false"/>
          <c:showSerName val="false"/>
          <c:showPercent val="false"/>
          <c:showBubbleSize val="false"/>
        </c:dLbls>
        <c:marker val="true"/>
        <c:smooth val="false"/>
        <c:axId val="3"/>
        <c:axId val="4"/>
      </c:lineChart>
      <c:catAx>
        <c:axId val="393483264"/>
        <c:scaling>
          <c:orientation val="minMax"/>
        </c:scaling>
        <c:delete val="false"/>
        <c:axPos val="b"/>
        <c:numFmt formatCode="General" sourceLinked="true"/>
        <c:majorTickMark val="none"/>
        <c:minorTickMark val="none"/>
        <c:tickLblPos val="nextTo"/>
        <c:spPr>
          <a:ln w="3175" cap="flat" cmpd="sng" algn="ctr">
            <a:solidFill>
              <a:srgbClr val="000000"/>
            </a:solidFill>
            <a:prstDash val="solid"/>
            <a:round/>
          </a:ln>
        </c:spPr>
        <c:txPr>
          <a:bodyPr rot="0" spcFirstLastPara="0" vertOverflow="ellipsis" vert="horz" wrap="square" anchor="ctr" anchorCtr="true"/>
          <a:lstStyle/>
          <a:p>
            <a:pPr>
              <a:defRPr lang="zh-CN" sz="1000" b="1"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1"/>
        <c:crosses val="autoZero"/>
        <c:auto val="true"/>
        <c:lblAlgn val="ctr"/>
        <c:lblOffset val="100"/>
        <c:noMultiLvlLbl val="false"/>
      </c:catAx>
      <c:valAx>
        <c:axId val="1"/>
        <c:scaling>
          <c:orientation val="minMax"/>
          <c:max val="16000"/>
          <c:min val="0"/>
        </c:scaling>
        <c:delete val="false"/>
        <c:axPos val="l"/>
        <c:title>
          <c:tx>
            <c:rich>
              <a:bodyPr rot="0" spcFirstLastPara="0" vertOverflow="ellipsis" vert="horz" wrap="square" anchor="ctr" anchorCtr="true"/>
              <a:lstStyle/>
              <a:p>
                <a:pPr algn="ctr">
                  <a:defRPr lang="zh-CN" sz="1000" b="1"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en-US" altLang="zh-CN" sz="800">
                    <a:latin typeface="Times New Roman" charset="0"/>
                    <a:cs typeface="Times New Roman" charset="0"/>
                  </a:rPr>
                  <a:t>RMB</a:t>
                </a:r>
                <a:r>
                  <a:rPr lang="en-US" altLang="zh-CN" sz="800" baseline="0">
                    <a:latin typeface="Times New Roman" charset="0"/>
                    <a:cs typeface="Times New Roman" charset="0"/>
                  </a:rPr>
                  <a:t> 100 million</a:t>
                </a:r>
                <a:endParaRPr lang="zh-CN" altLang="en-US" sz="800">
                  <a:latin typeface="Times New Roman" charset="0"/>
                  <a:cs typeface="Times New Roman" charset="0"/>
                </a:endParaRPr>
              </a:p>
            </c:rich>
          </c:tx>
          <c:layout>
            <c:manualLayout>
              <c:xMode val="edge"/>
              <c:yMode val="edge"/>
              <c:x val="5.3096658788343e-5"/>
              <c:y val="0.00981113563895021"/>
            </c:manualLayout>
          </c:layout>
          <c:overlay val="false"/>
          <c:spPr>
            <a:noFill/>
            <a:ln w="3175">
              <a:noFill/>
            </a:ln>
          </c:spPr>
        </c:title>
        <c:numFmt formatCode="0_);[Red]\(0\)" sourceLinked="false"/>
        <c:majorTickMark val="in"/>
        <c:minorTickMark val="none"/>
        <c:tickLblPos val="nextTo"/>
        <c:spPr>
          <a:ln w="12700" cap="flat" cmpd="sng" algn="ctr">
            <a:solidFill>
              <a:srgbClr val="000000"/>
            </a:solidFill>
            <a:prstDash val="solid"/>
            <a:round/>
          </a:ln>
        </c:spPr>
        <c:txPr>
          <a:bodyPr rot="0" spcFirstLastPara="0" vertOverflow="ellipsis" vert="horz" wrap="square" anchor="ctr" anchorCtr="true"/>
          <a:lstStyle/>
          <a:p>
            <a:pPr>
              <a:defRPr lang="zh-CN" sz="1000" b="1"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393483264"/>
        <c:crosses val="autoZero"/>
        <c:crossBetween val="between"/>
        <c:majorUnit val="4000"/>
      </c:valAx>
      <c:catAx>
        <c:axId val="3"/>
        <c:scaling>
          <c:orientation val="minMax"/>
        </c:scaling>
        <c:delete val="true"/>
        <c:axPos val="b"/>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4"/>
        <c:crosses val="autoZero"/>
        <c:auto val="true"/>
        <c:lblAlgn val="ctr"/>
        <c:lblOffset val="100"/>
        <c:noMultiLvlLbl val="false"/>
      </c:catAx>
      <c:valAx>
        <c:axId val="4"/>
        <c:scaling>
          <c:orientation val="minMax"/>
          <c:max val="12"/>
          <c:min val="-12"/>
        </c:scaling>
        <c:delete val="false"/>
        <c:axPos val="r"/>
        <c:title>
          <c:tx>
            <c:rich>
              <a:bodyPr rot="0" spcFirstLastPara="0" vertOverflow="ellipsis" vert="horz" wrap="square" anchor="ctr" anchorCtr="true"/>
              <a:lstStyle/>
              <a:p>
                <a:pPr algn="ctr">
                  <a:defRPr lang="zh-CN" sz="1000" b="1"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en-US" altLang="zh-CN"/>
                  <a:t>%</a:t>
                </a:r>
                <a:endParaRPr lang="en-US" altLang="zh-CN"/>
              </a:p>
            </c:rich>
          </c:tx>
          <c:layout>
            <c:manualLayout>
              <c:xMode val="edge"/>
              <c:yMode val="edge"/>
              <c:x val="0.952770023065299"/>
              <c:y val="0.0213829705110391"/>
            </c:manualLayout>
          </c:layout>
          <c:overlay val="false"/>
          <c:spPr>
            <a:noFill/>
            <a:ln w="3175">
              <a:noFill/>
            </a:ln>
          </c:spPr>
        </c:title>
        <c:numFmt formatCode="0_ " sourceLinked="false"/>
        <c:majorTickMark val="in"/>
        <c:minorTickMark val="none"/>
        <c:tickLblPos val="nextTo"/>
        <c:spPr>
          <a:ln w="12700" cap="flat" cmpd="sng" algn="ctr">
            <a:solidFill>
              <a:srgbClr val="000000"/>
            </a:solidFill>
            <a:prstDash val="solid"/>
            <a:round/>
          </a:ln>
        </c:spPr>
        <c:txPr>
          <a:bodyPr rot="0" spcFirstLastPara="0" vertOverflow="ellipsis" vert="horz" wrap="square" anchor="ctr" anchorCtr="true"/>
          <a:lstStyle/>
          <a:p>
            <a:pPr>
              <a:defRPr lang="zh-CN" sz="1000" b="1"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3"/>
        <c:crosses val="max"/>
        <c:crossBetween val="between"/>
        <c:majorUnit val="4"/>
      </c:valAx>
      <c:spPr>
        <a:noFill/>
        <a:ln w="25400">
          <a:noFill/>
        </a:ln>
      </c:spPr>
    </c:plotArea>
    <c:legend>
      <c:legendPos val="r"/>
      <c:legendEntry>
        <c:idx val="0"/>
        <c:txPr>
          <a:bodyPr rot="0" spcFirstLastPara="0" vertOverflow="ellipsis" vert="horz" wrap="square" anchor="ctr" anchorCtr="true"/>
          <a:lstStyle/>
          <a:p>
            <a:pPr>
              <a:defRPr lang="zh-CN" sz="800" b="1" i="0" u="none" strike="noStrike" kern="1200" baseline="0">
                <a:solidFill>
                  <a:srgbClr val="333333"/>
                </a:solidFill>
                <a:latin typeface="Times New Roman" charset="0"/>
                <a:ea typeface="宋体" panose="02010600030101010101" charset="-122"/>
                <a:cs typeface="宋体" panose="02010600030101010101" charset="-122"/>
              </a:defRPr>
            </a:pPr>
          </a:p>
        </c:txPr>
      </c:legendEntry>
      <c:legendEntry>
        <c:idx val="1"/>
        <c:txPr>
          <a:bodyPr rot="0" spcFirstLastPara="0" vertOverflow="ellipsis" vert="horz" wrap="square" anchor="ctr" anchorCtr="true"/>
          <a:lstStyle/>
          <a:p>
            <a:pPr>
              <a:defRPr lang="zh-CN" sz="800" b="1" i="0" u="none" strike="noStrike" kern="1200" baseline="0">
                <a:solidFill>
                  <a:srgbClr val="333333"/>
                </a:solidFill>
                <a:latin typeface="Times New Roman" charset="0"/>
                <a:ea typeface="宋体" panose="02010600030101010101" charset="-122"/>
                <a:cs typeface="宋体" panose="02010600030101010101" charset="-122"/>
              </a:defRPr>
            </a:pPr>
          </a:p>
        </c:txPr>
      </c:legendEntry>
      <c:layout>
        <c:manualLayout>
          <c:xMode val="edge"/>
          <c:yMode val="edge"/>
          <c:x val="0.00341843085075179"/>
          <c:y val="0.86318781843446"/>
          <c:w val="0.969127731388891"/>
          <c:h val="0.0912710321741136"/>
        </c:manualLayout>
      </c:layout>
      <c:overlay val="false"/>
      <c:spPr>
        <a:noFill/>
        <a:ln w="3175">
          <a:noFill/>
        </a:ln>
      </c:spPr>
      <c:txPr>
        <a:bodyPr rot="0" spcFirstLastPara="0" vertOverflow="ellipsis" vert="horz" wrap="square" anchor="ctr" anchorCtr="true"/>
        <a:lstStyle/>
        <a:p>
          <a:pPr>
            <a:defRPr lang="zh-CN" sz="800" b="1" i="0" u="none" strike="noStrike" kern="1200" baseline="0">
              <a:solidFill>
                <a:srgbClr val="333333"/>
              </a:solidFill>
              <a:latin typeface="Times New Roman" charset="0"/>
              <a:ea typeface="宋体" panose="02010600030101010101" charset="-122"/>
              <a:cs typeface="宋体" panose="02010600030101010101" charset="-122"/>
            </a:defRPr>
          </a:pPr>
        </a:p>
      </c:txPr>
    </c:legend>
    <c:plotVisOnly val="true"/>
    <c:dispBlanksAs val="gap"/>
    <c:showDLblsOverMax val="false"/>
  </c:chart>
  <c:spPr>
    <a:solidFill>
      <a:schemeClr val="bg1"/>
    </a:solidFill>
    <a:ln w="9525" cap="flat" cmpd="sng" algn="ctr">
      <a:noFill/>
      <a:prstDash val="solid"/>
      <a:round/>
    </a:ln>
    <a:effectLst/>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839560952825782"/>
          <c:y val="0.110182767624021"/>
          <c:w val="0.912540868752919"/>
          <c:h val="0.696605744125326"/>
        </c:manualLayout>
      </c:layout>
      <c:barChart>
        <c:barDir val="col"/>
        <c:grouping val="stacked"/>
        <c:varyColors val="false"/>
        <c:ser>
          <c:idx val="0"/>
          <c:order val="0"/>
          <c:tx>
            <c:strRef>
              <c:f>'[00000006.（编辑用）作图.xls]表'!$A$22</c:f>
              <c:strCache>
                <c:ptCount val="1"/>
                <c:pt idx="0">
                  <c:v>Value of exports</c:v>
                </c:pt>
              </c:strCache>
            </c:strRef>
          </c:tx>
          <c:spPr>
            <a:solidFill>
              <a:srgbClr val="5A9AD3">
                <a:alpha val="94000"/>
              </a:srgbClr>
            </a:solidFill>
            <a:ln w="19050">
              <a:solidFill>
                <a:srgbClr val="000000"/>
              </a:solidFill>
            </a:ln>
            <a:effectLst/>
          </c:spPr>
          <c:invertIfNegative val="false"/>
          <c:dLbls>
            <c:numFmt formatCode="General" sourceLinked="true"/>
            <c:spPr>
              <a:noFill/>
              <a:ln>
                <a:noFill/>
              </a:ln>
              <a:effectLst/>
            </c:spPr>
            <c:txPr>
              <a:bodyPr rot="0" spcFirstLastPara="0" vertOverflow="ellipsis" vert="horz" wrap="square" lIns="38100" tIns="19050" rIns="38100" bIns="19050" anchor="ctr" anchorCtr="true"/>
              <a:lstStyle/>
              <a:p>
                <a:pPr>
                  <a:defRPr lang="zh-CN" sz="1000" b="1"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numRef>
              <c:f>'[00000006.（编辑用）作图.xls]表'!$B$21:$F$21</c:f>
              <c:numCache>
                <c:formatCode>General</c:formatCode>
                <c:ptCount val="5"/>
                <c:pt idx="0">
                  <c:v>2018</c:v>
                </c:pt>
                <c:pt idx="1">
                  <c:v>2019</c:v>
                </c:pt>
                <c:pt idx="2">
                  <c:v>2020</c:v>
                </c:pt>
                <c:pt idx="3">
                  <c:v>2021</c:v>
                </c:pt>
                <c:pt idx="4">
                  <c:v>2022</c:v>
                </c:pt>
              </c:numCache>
            </c:numRef>
          </c:cat>
          <c:val>
            <c:numRef>
              <c:f>'[00000006.（编辑用）作图.xls]表'!$B$22:$F$22</c:f>
              <c:numCache>
                <c:formatCode>0.0_ </c:formatCode>
                <c:ptCount val="5"/>
                <c:pt idx="0">
                  <c:v>4878.54158843</c:v>
                </c:pt>
                <c:pt idx="1">
                  <c:v>5167.7506043</c:v>
                </c:pt>
                <c:pt idx="2">
                  <c:v>4654.94537516</c:v>
                </c:pt>
                <c:pt idx="3">
                  <c:v>6118.5</c:v>
                </c:pt>
                <c:pt idx="4">
                  <c:v>5890.02404887</c:v>
                </c:pt>
              </c:numCache>
            </c:numRef>
          </c:val>
        </c:ser>
        <c:ser>
          <c:idx val="1"/>
          <c:order val="1"/>
          <c:tx>
            <c:strRef>
              <c:f>'[00000006.（编辑用）作图.xls]表'!$A$23</c:f>
              <c:strCache>
                <c:ptCount val="1"/>
                <c:pt idx="0">
                  <c:v>Value of imports</c:v>
                </c:pt>
              </c:strCache>
            </c:strRef>
          </c:tx>
          <c:spPr>
            <a:solidFill>
              <a:srgbClr val="99CCFF">
                <a:alpha val="100000"/>
              </a:srgbClr>
            </a:solidFill>
            <a:ln w="12700">
              <a:solidFill>
                <a:srgbClr val="000000">
                  <a:alpha val="100000"/>
                </a:srgbClr>
              </a:solidFill>
              <a:prstDash val="solid"/>
            </a:ln>
          </c:spPr>
          <c:invertIfNegative val="false"/>
          <c:dLbls>
            <c:numFmt formatCode="General" sourceLinked="true"/>
            <c:spPr>
              <a:noFill/>
              <a:ln>
                <a:noFill/>
              </a:ln>
              <a:effectLst/>
            </c:spPr>
            <c:txPr>
              <a:bodyPr rot="0" spcFirstLastPara="0" vertOverflow="ellipsis" vert="horz" wrap="square" lIns="38100" tIns="19050" rIns="38100" bIns="19050" anchor="ctr" anchorCtr="true"/>
              <a:lstStyle/>
              <a:p>
                <a:pPr>
                  <a:defRPr lang="zh-CN" sz="1000" b="1"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numRef>
              <c:f>'[00000006.（编辑用）作图.xls]表'!$B$21:$F$21</c:f>
              <c:numCache>
                <c:formatCode>General</c:formatCode>
                <c:ptCount val="5"/>
                <c:pt idx="0">
                  <c:v>2018</c:v>
                </c:pt>
                <c:pt idx="1">
                  <c:v>2019</c:v>
                </c:pt>
                <c:pt idx="2">
                  <c:v>2020</c:v>
                </c:pt>
                <c:pt idx="3">
                  <c:v>2021</c:v>
                </c:pt>
                <c:pt idx="4">
                  <c:v>2022</c:v>
                </c:pt>
              </c:numCache>
            </c:numRef>
          </c:cat>
          <c:val>
            <c:numRef>
              <c:f>'[00000006.（编辑用）作图.xls]表'!$B$23:$F$23</c:f>
              <c:numCache>
                <c:formatCode>0.0_ </c:formatCode>
                <c:ptCount val="5"/>
                <c:pt idx="0">
                  <c:v>22303.93376407</c:v>
                </c:pt>
                <c:pt idx="1">
                  <c:v>23495.73065285</c:v>
                </c:pt>
                <c:pt idx="2">
                  <c:v>18560.96875341</c:v>
                </c:pt>
                <c:pt idx="3">
                  <c:v>24319.9</c:v>
                </c:pt>
                <c:pt idx="4">
                  <c:v>30555.48351811</c:v>
                </c:pt>
              </c:numCache>
            </c:numRef>
          </c:val>
        </c:ser>
        <c:dLbls>
          <c:showLegendKey val="false"/>
          <c:showVal val="false"/>
          <c:showCatName val="false"/>
          <c:showSerName val="false"/>
          <c:showPercent val="false"/>
          <c:showBubbleSize val="false"/>
        </c:dLbls>
        <c:gapWidth val="70"/>
        <c:overlap val="100"/>
        <c:axId val="831282484"/>
        <c:axId val="546094829"/>
      </c:barChart>
      <c:catAx>
        <c:axId val="831282484"/>
        <c:scaling>
          <c:orientation val="minMax"/>
        </c:scaling>
        <c:delete val="false"/>
        <c:axPos val="b"/>
        <c:majorTickMark val="none"/>
        <c:minorTickMark val="none"/>
        <c:tickLblPos val="nextTo"/>
        <c:spPr>
          <a:ln w="3175" cap="flat" cmpd="sng" algn="ctr">
            <a:solidFill>
              <a:srgbClr val="000000">
                <a:alpha val="100000"/>
              </a:srgbClr>
            </a:solidFill>
            <a:prstDash val="solid"/>
            <a:round/>
          </a:ln>
        </c:spPr>
        <c:txPr>
          <a:bodyPr rot="0" spcFirstLastPara="0" vertOverflow="ellipsis" vert="horz" wrap="square" anchor="ctr" anchorCtr="true"/>
          <a:lstStyle/>
          <a:p>
            <a:pPr>
              <a:defRPr lang="zh-CN" sz="1000" b="1"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p>
        </c:txPr>
        <c:crossAx val="546094829"/>
        <c:crosses val="autoZero"/>
        <c:auto val="true"/>
        <c:lblAlgn val="ctr"/>
        <c:lblOffset val="100"/>
        <c:noMultiLvlLbl val="false"/>
      </c:catAx>
      <c:valAx>
        <c:axId val="546094829"/>
        <c:scaling>
          <c:orientation val="minMax"/>
          <c:max val="40000"/>
          <c:min val="0"/>
        </c:scaling>
        <c:delete val="false"/>
        <c:axPos val="l"/>
        <c:title>
          <c:tx>
            <c:rich>
              <a:bodyPr rot="0" spcFirstLastPara="0" vertOverflow="ellipsis" vert="horz" wrap="square" anchor="ctr" anchorCtr="true"/>
              <a:lstStyle/>
              <a:p>
                <a:pPr defTabSz="914400">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en-US" altLang="zh-CN" sz="1000"/>
                  <a:t>RMB 100 million</a:t>
                </a:r>
                <a:endParaRPr lang="en-US" altLang="zh-CN" sz="1000"/>
              </a:p>
            </c:rich>
          </c:tx>
          <c:layout>
            <c:manualLayout>
              <c:xMode val="edge"/>
              <c:yMode val="edge"/>
              <c:x val="0.00350303596450257"/>
              <c:y val="0.00783289817232376"/>
            </c:manualLayout>
          </c:layout>
          <c:overlay val="false"/>
        </c:title>
        <c:numFmt formatCode="General" sourceLinked="false"/>
        <c:majorTickMark val="in"/>
        <c:minorTickMark val="none"/>
        <c:tickLblPos val="nextTo"/>
        <c:spPr>
          <a:ln w="3175" cap="flat" cmpd="sng" algn="ctr">
            <a:solidFill>
              <a:srgbClr val="000000">
                <a:alpha val="100000"/>
              </a:srgbClr>
            </a:solidFill>
            <a:prstDash val="solid"/>
            <a:round/>
          </a:ln>
        </c:spPr>
        <c:txPr>
          <a:bodyPr rot="0" spcFirstLastPara="0" vertOverflow="ellipsis" vert="horz" wrap="square" anchor="ctr" anchorCtr="true"/>
          <a:lstStyle/>
          <a:p>
            <a:pPr>
              <a:defRPr lang="zh-CN" sz="1000" b="1"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p>
        </c:txPr>
        <c:crossAx val="831282484"/>
        <c:crosses val="autoZero"/>
        <c:crossBetween val="between"/>
        <c:majorUnit val="10000"/>
      </c:valAx>
      <c:spPr>
        <a:noFill/>
        <a:ln>
          <a:noFill/>
        </a:ln>
        <a:effectLst/>
      </c:spPr>
    </c:plotArea>
    <c:legend>
      <c:legendPos val="r"/>
      <c:legendEntry>
        <c:idx val="0"/>
        <c:txPr>
          <a:bodyPr rot="0" spcFirstLastPara="0" vertOverflow="ellipsis" vert="horz" wrap="square" anchor="ctr" anchorCtr="true"/>
          <a:lstStyle/>
          <a:p>
            <a:pPr>
              <a:defRPr lang="zh-CN" sz="920" b="1"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legendEntry>
      <c:legendEntry>
        <c:idx val="1"/>
        <c:txPr>
          <a:bodyPr rot="0" spcFirstLastPara="0" vertOverflow="ellipsis" vert="horz" wrap="square" anchor="ctr" anchorCtr="true"/>
          <a:lstStyle/>
          <a:p>
            <a:pPr>
              <a:defRPr lang="zh-CN" sz="920" b="1"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legendEntry>
      <c:layout>
        <c:manualLayout>
          <c:xMode val="edge"/>
          <c:yMode val="edge"/>
          <c:x val="0.200900853003038"/>
          <c:y val="0.91568407310705"/>
          <c:w val="0.593155893536122"/>
          <c:h val="0.0613207547169811"/>
        </c:manualLayout>
      </c:layout>
      <c:overlay val="false"/>
      <c:spPr>
        <a:noFill/>
        <a:ln w="3175">
          <a:noFill/>
        </a:ln>
      </c:spPr>
      <c:txPr>
        <a:bodyPr rot="0" spcFirstLastPara="0" vertOverflow="ellipsis" vert="horz" wrap="square" anchor="ctr" anchorCtr="true"/>
        <a:lstStyle/>
        <a:p>
          <a:pPr>
            <a:defRPr lang="zh-CN" sz="920" b="1"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legend>
    <c:plotVisOnly val="true"/>
    <c:dispBlanksAs val="gap"/>
    <c:showDLblsOverMax val="false"/>
  </c:chart>
  <c:spPr>
    <a:solidFill>
      <a:schemeClr val="bg1"/>
    </a:solidFill>
    <a:ln w="9525" cap="flat" cmpd="sng" algn="ctr">
      <a:solidFill>
        <a:schemeClr val="bg1"/>
      </a:solidFill>
      <a:prstDash val="solid"/>
      <a:round/>
    </a:ln>
    <a:effectLst/>
  </c:spPr>
  <c:txPr>
    <a:bodyPr rot="0" wrap="square" anchor="ctr" anchorCtr="true"/>
    <a:lstStyle/>
    <a:p>
      <a:pPr>
        <a:defRPr lang="zh-CN" sz="10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defRPr>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885410010649627"/>
          <c:y val="0.123612622415669"/>
          <c:w val="0.863067092651757"/>
          <c:h val="0.641697497279652"/>
        </c:manualLayout>
      </c:layout>
      <c:barChart>
        <c:barDir val="col"/>
        <c:grouping val="clustered"/>
        <c:varyColors val="false"/>
        <c:ser>
          <c:idx val="0"/>
          <c:order val="0"/>
          <c:tx>
            <c:strRef>
              <c:f>表!$A$28</c:f>
              <c:strCache>
                <c:ptCount val="1"/>
                <c:pt idx="0">
                  <c:v>Per capita disposable income of residents</c:v>
                </c:pt>
              </c:strCache>
            </c:strRef>
          </c:tx>
          <c:spPr>
            <a:solidFill>
              <a:srgbClr val="99CCFF"/>
            </a:solidFill>
            <a:ln w="19050">
              <a:solidFill>
                <a:srgbClr val="000000"/>
              </a:solidFill>
            </a:ln>
            <a:effectLst>
              <a:softEdge rad="12700"/>
            </a:effectLst>
          </c:spPr>
          <c:invertIfNegative val="false"/>
          <c:dLbls>
            <c:dLbl>
              <c:idx val="3"/>
              <c:layout>
                <c:manualLayout>
                  <c:x val="-0.0039544080018609"/>
                  <c:y val="0.0231923601637108"/>
                </c:manualLayout>
              </c:layout>
              <c:numFmt formatCode="General" sourceLinked="true"/>
              <c:spPr>
                <a:noFill/>
                <a:ln w="3175">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true">
                <a:spAutoFit/>
              </a:bodyPr>
              <a:lstStyle/>
              <a:p>
                <a:pPr>
                  <a:defRPr lang="zh-CN" sz="1000" b="1"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numRef>
              <c:f>表!$B$27:$F$27</c:f>
              <c:numCache>
                <c:formatCode>General</c:formatCode>
                <c:ptCount val="5"/>
                <c:pt idx="0">
                  <c:v>2018</c:v>
                </c:pt>
                <c:pt idx="1">
                  <c:v>2019</c:v>
                </c:pt>
                <c:pt idx="2">
                  <c:v>2020</c:v>
                </c:pt>
                <c:pt idx="3">
                  <c:v>2021</c:v>
                </c:pt>
                <c:pt idx="4">
                  <c:v>2022</c:v>
                </c:pt>
              </c:numCache>
            </c:numRef>
          </c:cat>
          <c:val>
            <c:numRef>
              <c:f>表!$B$28:$F$28</c:f>
              <c:numCache>
                <c:formatCode>0_ </c:formatCode>
                <c:ptCount val="5"/>
                <c:pt idx="0">
                  <c:v>62361</c:v>
                </c:pt>
                <c:pt idx="1">
                  <c:v>67756</c:v>
                </c:pt>
                <c:pt idx="2">
                  <c:v>69434</c:v>
                </c:pt>
                <c:pt idx="3">
                  <c:v>75002</c:v>
                </c:pt>
                <c:pt idx="4">
                  <c:v>77415</c:v>
                </c:pt>
              </c:numCache>
            </c:numRef>
          </c:val>
        </c:ser>
        <c:dLbls>
          <c:showLegendKey val="false"/>
          <c:showVal val="false"/>
          <c:showCatName val="false"/>
          <c:showSerName val="false"/>
          <c:showPercent val="false"/>
          <c:showBubbleSize val="false"/>
        </c:dLbls>
        <c:gapWidth val="219"/>
        <c:overlap val="-27"/>
        <c:axId val="390337384"/>
        <c:axId val="1"/>
      </c:barChart>
      <c:lineChart>
        <c:grouping val="standard"/>
        <c:varyColors val="false"/>
        <c:ser>
          <c:idx val="1"/>
          <c:order val="1"/>
          <c:tx>
            <c:strRef>
              <c:f>表!$A$29</c:f>
              <c:strCache>
                <c:ptCount val="1"/>
                <c:pt idx="0">
                  <c:v>Growth rate over the previous year</c:v>
                </c:pt>
              </c:strCache>
            </c:strRef>
          </c:tx>
          <c:spPr>
            <a:ln w="12700" cap="flat" cmpd="sng" algn="ctr">
              <a:solidFill>
                <a:srgbClr val="1D1D7A"/>
              </a:solidFill>
              <a:prstDash val="solid"/>
              <a:bevel/>
            </a:ln>
            <a:effectLst/>
          </c:spPr>
          <c:marker>
            <c:symbol val="diamond"/>
            <c:size val="6"/>
            <c:spPr>
              <a:gradFill>
                <a:gsLst>
                  <a:gs pos="0">
                    <a:srgbClr val="1D1D7A">
                      <a:lumMod val="61000"/>
                      <a:alpha val="100000"/>
                    </a:srgbClr>
                  </a:gs>
                  <a:gs pos="100000">
                    <a:srgbClr val="0E2557"/>
                  </a:gs>
                </a:gsLst>
                <a:lin ang="5400000" scaled="false"/>
              </a:gradFill>
              <a:ln w="3175" cap="flat" cmpd="sng" algn="ctr">
                <a:solidFill>
                  <a:srgbClr val="1D1D7A"/>
                </a:solidFill>
                <a:prstDash val="solid"/>
                <a:bevel/>
              </a:ln>
              <a:effectLst/>
            </c:spPr>
          </c:marker>
          <c:dLbls>
            <c:dLbl>
              <c:idx val="2"/>
              <c:layout>
                <c:manualLayout>
                  <c:x val="-0.0379443839492276"/>
                  <c:y val="0.0642670802791307"/>
                </c:manualLayout>
              </c:layout>
              <c:numFmt formatCode="General" sourceLinked="true"/>
              <c:spPr>
                <a:noFill/>
                <a:ln w="3175">
                  <a:noFill/>
                </a:ln>
                <a:effectLst/>
              </c:spPr>
              <c:txPr>
                <a:bodyPr rot="0" spcFirstLastPara="0" vertOverflow="ellipsis" vert="horz" wrap="square" lIns="38100" tIns="19050" rIns="38100" bIns="19050" anchor="ctr" anchorCtr="true"/>
                <a:lstStyle/>
                <a:p>
                  <a:pPr>
                    <a:defRPr lang="zh-CN" sz="1000" b="1"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manualLayout>
                  <c:x val="-0.0379443839492276"/>
                  <c:y val="0.0642670802791307"/>
                </c:manualLayout>
              </c:layout>
              <c:numFmt formatCode="General" sourceLinked="true"/>
              <c:spPr>
                <a:noFill/>
                <a:ln>
                  <a:noFill/>
                </a:ln>
                <a:effectLst/>
              </c:spPr>
              <c:txPr>
                <a:bodyPr rot="0" spcFirstLastPara="0" vertOverflow="ellipsis" vert="horz" wrap="square" lIns="38100" tIns="19050" rIns="38100" bIns="19050" anchor="ctr" anchorCtr="true"/>
                <a:lstStyle/>
                <a:p>
                  <a:pPr>
                    <a:defRPr lang="zh-CN" sz="1000" b="1"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true">
                <a:spAutoFit/>
              </a:bodyPr>
              <a:lstStyle/>
              <a:p>
                <a:pPr>
                  <a:defRPr lang="zh-CN" sz="1000" b="1"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t"/>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numRef>
              <c:f>表!$B$27:$F$27</c:f>
              <c:numCache>
                <c:formatCode>General</c:formatCode>
                <c:ptCount val="5"/>
                <c:pt idx="0">
                  <c:v>2018</c:v>
                </c:pt>
                <c:pt idx="1">
                  <c:v>2019</c:v>
                </c:pt>
                <c:pt idx="2">
                  <c:v>2020</c:v>
                </c:pt>
                <c:pt idx="3">
                  <c:v>2021</c:v>
                </c:pt>
                <c:pt idx="4">
                  <c:v>2022</c:v>
                </c:pt>
              </c:numCache>
            </c:numRef>
          </c:cat>
          <c:val>
            <c:numRef>
              <c:f>表!$B$29:$F$29</c:f>
              <c:numCache>
                <c:formatCode>0.0_ </c:formatCode>
                <c:ptCount val="5"/>
                <c:pt idx="0">
                  <c:v>9</c:v>
                </c:pt>
                <c:pt idx="1">
                  <c:v>8.7</c:v>
                </c:pt>
                <c:pt idx="2">
                  <c:v>2.5</c:v>
                </c:pt>
                <c:pt idx="3">
                  <c:v>8</c:v>
                </c:pt>
                <c:pt idx="4">
                  <c:v>3.2</c:v>
                </c:pt>
              </c:numCache>
            </c:numRef>
          </c:val>
          <c:smooth val="false"/>
        </c:ser>
        <c:dLbls>
          <c:showLegendKey val="false"/>
          <c:showVal val="false"/>
          <c:showCatName val="false"/>
          <c:showSerName val="false"/>
          <c:showPercent val="false"/>
          <c:showBubbleSize val="false"/>
        </c:dLbls>
        <c:marker val="true"/>
        <c:smooth val="false"/>
        <c:axId val="3"/>
        <c:axId val="4"/>
      </c:lineChart>
      <c:catAx>
        <c:axId val="390337384"/>
        <c:scaling>
          <c:orientation val="minMax"/>
        </c:scaling>
        <c:delete val="false"/>
        <c:axPos val="b"/>
        <c:numFmt formatCode="General" sourceLinked="true"/>
        <c:majorTickMark val="none"/>
        <c:minorTickMark val="none"/>
        <c:tickLblPos val="nextTo"/>
        <c:spPr>
          <a:ln w="3175" cap="flat" cmpd="sng" algn="ctr">
            <a:solidFill>
              <a:srgbClr val="000000"/>
            </a:solidFill>
            <a:prstDash val="solid"/>
            <a:round/>
          </a:ln>
        </c:spPr>
        <c:txPr>
          <a:bodyPr rot="0" spcFirstLastPara="0" vertOverflow="ellipsis" vert="horz" wrap="square" anchor="ctr" anchorCtr="true"/>
          <a:lstStyle/>
          <a:p>
            <a:pPr>
              <a:defRPr lang="zh-CN" sz="1000" b="1"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1"/>
        <c:crosses val="autoZero"/>
        <c:auto val="true"/>
        <c:lblAlgn val="ctr"/>
        <c:lblOffset val="100"/>
        <c:noMultiLvlLbl val="false"/>
      </c:catAx>
      <c:valAx>
        <c:axId val="1"/>
        <c:scaling>
          <c:orientation val="minMax"/>
          <c:max val="100000"/>
          <c:min val="0"/>
        </c:scaling>
        <c:delete val="false"/>
        <c:axPos val="l"/>
        <c:title>
          <c:tx>
            <c:rich>
              <a:bodyPr rot="0" spcFirstLastPara="0" vertOverflow="ellipsis" vert="horz" wrap="square" anchor="ctr" anchorCtr="true"/>
              <a:lstStyle/>
              <a:p>
                <a:pPr algn="ctr">
                  <a:defRPr lang="zh-CN" sz="1000" b="1"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en-US" altLang="zh-CN" sz="800">
                    <a:latin typeface="Times New Roman" charset="0"/>
                    <a:cs typeface="Times New Roman" charset="0"/>
                  </a:rPr>
                  <a:t>RMB</a:t>
                </a:r>
                <a:endParaRPr lang="zh-CN" altLang="en-US" sz="800">
                  <a:latin typeface="Times New Roman" charset="0"/>
                  <a:cs typeface="Times New Roman" charset="0"/>
                </a:endParaRPr>
              </a:p>
            </c:rich>
          </c:tx>
          <c:layout>
            <c:manualLayout>
              <c:xMode val="edge"/>
              <c:yMode val="edge"/>
              <c:x val="0.023628105234176"/>
              <c:y val="0.0171734039059779"/>
            </c:manualLayout>
          </c:layout>
          <c:overlay val="false"/>
          <c:spPr>
            <a:noFill/>
            <a:ln w="3175">
              <a:noFill/>
            </a:ln>
          </c:spPr>
        </c:title>
        <c:numFmt formatCode="0_);[Red]\(0\)" sourceLinked="false"/>
        <c:majorTickMark val="in"/>
        <c:minorTickMark val="none"/>
        <c:tickLblPos val="nextTo"/>
        <c:spPr>
          <a:ln w="12700" cap="flat" cmpd="sng" algn="ctr">
            <a:solidFill>
              <a:srgbClr val="000000"/>
            </a:solidFill>
            <a:prstDash val="solid"/>
            <a:round/>
          </a:ln>
        </c:spPr>
        <c:txPr>
          <a:bodyPr rot="0" spcFirstLastPara="0" vertOverflow="ellipsis" vert="horz" wrap="square" anchor="ctr" anchorCtr="true"/>
          <a:lstStyle/>
          <a:p>
            <a:pPr>
              <a:defRPr lang="zh-CN" sz="1000" b="1"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390337384"/>
        <c:crosses val="autoZero"/>
        <c:crossBetween val="between"/>
        <c:majorUnit val="20000"/>
      </c:valAx>
      <c:catAx>
        <c:axId val="3"/>
        <c:scaling>
          <c:orientation val="minMax"/>
        </c:scaling>
        <c:delete val="true"/>
        <c:axPos val="b"/>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4"/>
        <c:crosses val="autoZero"/>
        <c:auto val="true"/>
        <c:lblAlgn val="ctr"/>
        <c:lblOffset val="100"/>
        <c:noMultiLvlLbl val="false"/>
      </c:catAx>
      <c:valAx>
        <c:axId val="4"/>
        <c:scaling>
          <c:orientation val="minMax"/>
          <c:max val="10"/>
          <c:min val="-10"/>
        </c:scaling>
        <c:delete val="false"/>
        <c:axPos val="r"/>
        <c:title>
          <c:tx>
            <c:rich>
              <a:bodyPr rot="0" spcFirstLastPara="0" vertOverflow="ellipsis" vert="horz" wrap="square" anchor="ctr" anchorCtr="true"/>
              <a:lstStyle/>
              <a:p>
                <a:pPr algn="ctr">
                  <a:defRPr lang="zh-CN" sz="1000" b="1"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en-US" altLang="zh-CN"/>
                  <a:t>%</a:t>
                </a:r>
                <a:endParaRPr lang="en-US" altLang="zh-CN"/>
              </a:p>
            </c:rich>
          </c:tx>
          <c:layout>
            <c:manualLayout>
              <c:xMode val="edge"/>
              <c:yMode val="edge"/>
              <c:x val="0.959571701264615"/>
              <c:y val="0.0165597498842057"/>
            </c:manualLayout>
          </c:layout>
          <c:overlay val="false"/>
          <c:spPr>
            <a:noFill/>
            <a:ln w="3175">
              <a:noFill/>
            </a:ln>
          </c:spPr>
        </c:title>
        <c:numFmt formatCode="0_ " sourceLinked="false"/>
        <c:majorTickMark val="in"/>
        <c:minorTickMark val="none"/>
        <c:tickLblPos val="nextTo"/>
        <c:spPr>
          <a:ln w="12700" cap="flat" cmpd="sng" algn="ctr">
            <a:solidFill>
              <a:srgbClr val="000000"/>
            </a:solidFill>
            <a:prstDash val="solid"/>
            <a:round/>
          </a:ln>
        </c:spPr>
        <c:txPr>
          <a:bodyPr rot="0" spcFirstLastPara="0" vertOverflow="ellipsis" vert="horz" wrap="square" anchor="ctr" anchorCtr="true"/>
          <a:lstStyle/>
          <a:p>
            <a:pPr>
              <a:defRPr lang="zh-CN" sz="1000" b="1"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3"/>
        <c:crosses val="max"/>
        <c:crossBetween val="between"/>
        <c:majorUnit val="5"/>
      </c:valAx>
      <c:spPr>
        <a:noFill/>
        <a:ln w="25400">
          <a:noFill/>
        </a:ln>
      </c:spPr>
    </c:plotArea>
    <c:legend>
      <c:legendPos val="r"/>
      <c:legendEntry>
        <c:idx val="0"/>
        <c:txPr>
          <a:bodyPr rot="0" spcFirstLastPara="0" vertOverflow="ellipsis" vert="horz" wrap="square" anchor="ctr" anchorCtr="true"/>
          <a:lstStyle/>
          <a:p>
            <a:pPr>
              <a:defRPr lang="zh-CN" sz="900" b="1" i="0" u="none" strike="noStrike" kern="1200" baseline="0">
                <a:solidFill>
                  <a:srgbClr val="333333"/>
                </a:solidFill>
                <a:latin typeface="Times New Roman" charset="0"/>
                <a:ea typeface="宋体" panose="02010600030101010101" charset="-122"/>
                <a:cs typeface="宋体" panose="02010600030101010101" charset="-122"/>
              </a:defRPr>
            </a:pPr>
          </a:p>
        </c:txPr>
      </c:legendEntry>
      <c:legendEntry>
        <c:idx val="1"/>
        <c:txPr>
          <a:bodyPr rot="0" spcFirstLastPara="0" vertOverflow="ellipsis" vert="horz" wrap="square" anchor="ctr" anchorCtr="true"/>
          <a:lstStyle/>
          <a:p>
            <a:pPr>
              <a:defRPr lang="zh-CN" sz="900" b="1" i="0" u="none" strike="noStrike" kern="1200" baseline="0">
                <a:solidFill>
                  <a:srgbClr val="333333"/>
                </a:solidFill>
                <a:latin typeface="Times New Roman" charset="0"/>
                <a:ea typeface="宋体" panose="02010600030101010101" charset="-122"/>
                <a:cs typeface="宋体" panose="02010600030101010101" charset="-122"/>
              </a:defRPr>
            </a:pPr>
          </a:p>
        </c:txPr>
      </c:legendEntry>
      <c:layout>
        <c:manualLayout>
          <c:xMode val="edge"/>
          <c:yMode val="edge"/>
          <c:x val="0.000879066253082001"/>
          <c:y val="0.86318781843446"/>
          <c:w val="0.991857551896922"/>
          <c:h val="0.115797051103906"/>
        </c:manualLayout>
      </c:layout>
      <c:overlay val="false"/>
      <c:spPr>
        <a:noFill/>
        <a:ln w="3175">
          <a:noFill/>
        </a:ln>
      </c:spPr>
      <c:txPr>
        <a:bodyPr rot="0" spcFirstLastPara="0" vertOverflow="ellipsis" vert="horz" wrap="square" anchor="ctr" anchorCtr="true"/>
        <a:lstStyle/>
        <a:p>
          <a:pPr>
            <a:defRPr lang="zh-CN" sz="900" b="1" i="0" u="none" strike="noStrike" kern="1200" baseline="0">
              <a:solidFill>
                <a:srgbClr val="333333"/>
              </a:solidFill>
              <a:latin typeface="Times New Roman" charset="0"/>
              <a:ea typeface="宋体" panose="02010600030101010101" charset="-122"/>
              <a:cs typeface="宋体" panose="02010600030101010101" charset="-122"/>
            </a:defRPr>
          </a:pPr>
        </a:p>
      </c:txPr>
    </c:legend>
    <c:plotVisOnly val="true"/>
    <c:dispBlanksAs val="gap"/>
    <c:showDLblsOverMax val="false"/>
  </c:chart>
  <c:spPr>
    <a:solidFill>
      <a:schemeClr val="bg1"/>
    </a:solidFill>
    <a:ln w="9525" cap="flat" cmpd="sng" algn="ctr">
      <a:noFill/>
      <a:prstDash val="solid"/>
      <a:round/>
    </a:ln>
    <a:effectLst/>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false"/>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explosion val="0"/>
          <c:dPt>
            <c:idx val="0"/>
            <c:bubble3D val="false"/>
            <c:explosion val="0"/>
            <c:spPr>
              <a:solidFill>
                <a:schemeClr val="accent1"/>
              </a:solidFill>
              <a:ln w="19050">
                <a:solidFill>
                  <a:schemeClr val="lt1"/>
                </a:solidFill>
              </a:ln>
              <a:effectLst/>
            </c:spPr>
          </c:dPt>
          <c:dPt>
            <c:idx val="1"/>
            <c:bubble3D val="false"/>
            <c:explosion val="0"/>
            <c:spPr>
              <a:solidFill>
                <a:schemeClr val="accent2"/>
              </a:solidFill>
              <a:ln w="19050">
                <a:solidFill>
                  <a:schemeClr val="lt1"/>
                </a:solidFill>
              </a:ln>
              <a:effectLst/>
            </c:spPr>
          </c:dPt>
          <c:dPt>
            <c:idx val="2"/>
            <c:bubble3D val="false"/>
            <c:explosion val="0"/>
            <c:spPr>
              <a:solidFill>
                <a:schemeClr val="accent3"/>
              </a:solidFill>
              <a:ln w="19050">
                <a:solidFill>
                  <a:schemeClr val="lt1"/>
                </a:solidFill>
              </a:ln>
              <a:effectLst/>
            </c:spPr>
          </c:dPt>
          <c:dPt>
            <c:idx val="3"/>
            <c:bubble3D val="false"/>
            <c:explosion val="0"/>
            <c:spPr>
              <a:solidFill>
                <a:schemeClr val="accent4"/>
              </a:solidFill>
              <a:ln w="19050">
                <a:solidFill>
                  <a:schemeClr val="lt1"/>
                </a:solidFill>
              </a:ln>
              <a:effectLst/>
            </c:spPr>
          </c:dPt>
          <c:dPt>
            <c:idx val="4"/>
            <c:bubble3D val="false"/>
            <c:explosion val="0"/>
            <c:spPr>
              <a:solidFill>
                <a:schemeClr val="accent5"/>
              </a:solidFill>
              <a:ln w="19050">
                <a:solidFill>
                  <a:schemeClr val="lt1"/>
                </a:solidFill>
              </a:ln>
              <a:effectLst/>
            </c:spPr>
          </c:dPt>
          <c:dPt>
            <c:idx val="5"/>
            <c:bubble3D val="false"/>
            <c:explosion val="0"/>
            <c:spPr>
              <a:solidFill>
                <a:schemeClr val="accent6"/>
              </a:solidFill>
              <a:ln w="19050">
                <a:solidFill>
                  <a:schemeClr val="lt1"/>
                </a:solidFill>
              </a:ln>
              <a:effectLst/>
            </c:spPr>
          </c:dPt>
          <c:dPt>
            <c:idx val="6"/>
            <c:bubble3D val="false"/>
            <c:explosion val="0"/>
            <c:spPr>
              <a:solidFill>
                <a:schemeClr val="accent1">
                  <a:lumMod val="60000"/>
                </a:schemeClr>
              </a:solidFill>
              <a:ln w="19050">
                <a:solidFill>
                  <a:schemeClr val="lt1"/>
                </a:solidFill>
              </a:ln>
              <a:effectLst/>
            </c:spPr>
          </c:dPt>
          <c:dPt>
            <c:idx val="7"/>
            <c:bubble3D val="false"/>
            <c:explosion val="0"/>
            <c:spPr>
              <a:solidFill>
                <a:schemeClr val="accent2">
                  <a:lumMod val="60000"/>
                </a:schemeClr>
              </a:solidFill>
              <a:ln w="19050">
                <a:solidFill>
                  <a:schemeClr val="lt1"/>
                </a:solidFill>
              </a:ln>
              <a:effectLst/>
            </c:spPr>
          </c:dPt>
          <c:dLbls>
            <c:dLbl>
              <c:idx val="0"/>
              <c:layout>
                <c:manualLayout>
                  <c:x val="0.126526818906001"/>
                  <c:y val="0.0704194740273854"/>
                </c:manualLayout>
              </c:layout>
              <c:tx>
                <c:rich>
                  <a:bodyPr rot="0" spcFirstLastPara="0" vertOverflow="ellipsis" vert="horz" wrap="square" lIns="38100" tIns="19050" rIns="38100" bIns="19050" anchor="ctr" anchorCtr="true"/>
                  <a:lstStyle/>
                  <a:p>
                    <a:pPr defTabSz="914400">
                      <a:defRPr lang="zh-CN" sz="650" b="0" i="0" u="none" strike="noStrike" kern="1200" baseline="0">
                        <a:solidFill>
                          <a:srgbClr val="000000">
                            <a:alpha val="100000"/>
                          </a:srgbClr>
                        </a:solidFill>
                        <a:latin typeface="Times New Roman" charset="0"/>
                        <a:ea typeface="Times New Roman" charset="0"/>
                        <a:cs typeface="Times New Roman" charset="0"/>
                        <a:sym typeface="Times New Roman" charset="0"/>
                      </a:defRPr>
                    </a:pPr>
                    <a:r>
                      <a:rPr sz="650">
                        <a:latin typeface="Times New Roman" charset="0"/>
                        <a:ea typeface="Times New Roman" charset="0"/>
                        <a:cs typeface="Times New Roman" charset="0"/>
                        <a:sym typeface="Times New Roman" charset="0"/>
                      </a:rPr>
                      <a:t>Food, tobacco and alcohol, </a:t>
                    </a:r>
                    <a:endParaRPr sz="650">
                      <a:latin typeface="Times New Roman" charset="0"/>
                      <a:ea typeface="Times New Roman" charset="0"/>
                      <a:cs typeface="Times New Roman" charset="0"/>
                      <a:sym typeface="Times New Roman" charset="0"/>
                    </a:endParaRPr>
                  </a:p>
                  <a:p>
                    <a:pPr defTabSz="914400">
                      <a:defRPr lang="zh-CN" sz="650" b="0" i="0" u="none" strike="noStrike" kern="1200" baseline="0">
                        <a:solidFill>
                          <a:srgbClr val="000000">
                            <a:alpha val="100000"/>
                          </a:srgbClr>
                        </a:solidFill>
                        <a:latin typeface="Times New Roman" charset="0"/>
                        <a:ea typeface="Times New Roman" charset="0"/>
                        <a:cs typeface="Times New Roman" charset="0"/>
                        <a:sym typeface="Times New Roman" charset="0"/>
                      </a:defRPr>
                    </a:pPr>
                    <a:r>
                      <a:rPr sz="650">
                        <a:latin typeface="Times New Roman" charset="0"/>
                        <a:ea typeface="Times New Roman" charset="0"/>
                        <a:cs typeface="Times New Roman" charset="0"/>
                        <a:sym typeface="Times New Roman" charset="0"/>
                      </a:rPr>
                      <a:t>RMB 9,223, 21.6%</a:t>
                    </a:r>
                    <a:endParaRPr sz="650">
                      <a:latin typeface="Times New Roman" charset="0"/>
                      <a:ea typeface="Times New Roman" charset="0"/>
                      <a:cs typeface="Times New Roman" charset="0"/>
                      <a:sym typeface="Times New Roman" charset="0"/>
                    </a:endParaRPr>
                  </a:p>
                </c:rich>
              </c:tx>
              <c:numFmt formatCode="0.0%" sourceLinked="false"/>
              <c:spPr>
                <a:noFill/>
                <a:ln>
                  <a:noFill/>
                </a:ln>
                <a:effectLst/>
              </c:spPr>
              <c:txPr>
                <a:bodyPr rot="0" spcFirstLastPara="0" vertOverflow="ellipsis" vert="horz" wrap="square" lIns="38100" tIns="19050" rIns="38100" bIns="19050" anchor="ctr" anchorCtr="true"/>
                <a:lstStyle/>
                <a:p>
                  <a:pPr>
                    <a:defRPr lang="zh-CN" sz="650" b="0" i="0" u="none" strike="noStrike" kern="1200" baseline="0">
                      <a:solidFill>
                        <a:srgbClr val="000000">
                          <a:alpha val="100000"/>
                        </a:srgbClr>
                      </a:solidFill>
                      <a:latin typeface="Times New Roman" charset="0"/>
                      <a:ea typeface="Times New Roman" charset="0"/>
                      <a:cs typeface="Times New Roman" charset="0"/>
                      <a:sym typeface="Times New Roman" charset="0"/>
                    </a:defRPr>
                  </a:pPr>
                </a:p>
              </c:txPr>
              <c:dLblPos val="bestFit"/>
              <c:showLegendKey val="false"/>
              <c:showVal val="true"/>
              <c:showCatName val="true"/>
              <c:showSerName val="false"/>
              <c:showPercent val="true"/>
              <c:showBubbleSize val="false"/>
              <c:extLst>
                <c:ext xmlns:c15="http://schemas.microsoft.com/office/drawing/2012/chart" uri="{CE6537A1-D6FC-4f65-9D91-7224C49458BB}">
                  <c15:layout>
                    <c:manualLayout>
                      <c:w val="0.212409240924092"/>
                      <c:h val="0.110722370858201"/>
                    </c:manualLayout>
                  </c15:layout>
                </c:ext>
              </c:extLst>
            </c:dLbl>
            <c:dLbl>
              <c:idx val="1"/>
              <c:layout>
                <c:manualLayout>
                  <c:x val="0.0516532532501726"/>
                  <c:y val="-0.00369484894588133"/>
                </c:manualLayout>
              </c:layout>
              <c:tx>
                <c:rich>
                  <a:bodyPr rot="0" spcFirstLastPara="0" vertOverflow="ellipsis" vert="horz" wrap="square" lIns="38100" tIns="19050" rIns="38100" bIns="19050" anchor="ctr" anchorCtr="true"/>
                  <a:lstStyle/>
                  <a:p>
                    <a:pPr defTabSz="914400">
                      <a:defRPr lang="zh-CN" sz="650" b="0" i="0" u="none" strike="noStrike" kern="1200" baseline="0">
                        <a:solidFill>
                          <a:srgbClr val="000000">
                            <a:alpha val="100000"/>
                          </a:srgbClr>
                        </a:solidFill>
                        <a:latin typeface="Times New Roman" charset="0"/>
                        <a:ea typeface="Times New Roman" charset="0"/>
                        <a:cs typeface="Times New Roman" charset="0"/>
                        <a:sym typeface="Times New Roman" charset="0"/>
                      </a:defRPr>
                    </a:pPr>
                    <a:r>
                      <a:rPr sz="650">
                        <a:latin typeface="Times New Roman" charset="0"/>
                        <a:ea typeface="Times New Roman" charset="0"/>
                        <a:cs typeface="Times New Roman" charset="0"/>
                        <a:sym typeface="Times New Roman" charset="0"/>
                      </a:rPr>
                      <a:t>Clothing, </a:t>
                    </a:r>
                    <a:endParaRPr sz="650">
                      <a:latin typeface="Times New Roman" charset="0"/>
                      <a:ea typeface="Times New Roman" charset="0"/>
                      <a:cs typeface="Times New Roman" charset="0"/>
                      <a:sym typeface="Times New Roman" charset="0"/>
                    </a:endParaRPr>
                  </a:p>
                  <a:p>
                    <a:pPr defTabSz="914400">
                      <a:defRPr lang="zh-CN" sz="650" b="0" i="0" u="none" strike="noStrike" kern="1200" baseline="0">
                        <a:solidFill>
                          <a:srgbClr val="000000">
                            <a:alpha val="100000"/>
                          </a:srgbClr>
                        </a:solidFill>
                        <a:latin typeface="Times New Roman" charset="0"/>
                        <a:ea typeface="Times New Roman" charset="0"/>
                        <a:cs typeface="Times New Roman" charset="0"/>
                        <a:sym typeface="Times New Roman" charset="0"/>
                      </a:defRPr>
                    </a:pPr>
                    <a:r>
                      <a:rPr sz="650">
                        <a:latin typeface="Times New Roman" charset="0"/>
                        <a:ea typeface="Times New Roman" charset="0"/>
                        <a:cs typeface="Times New Roman" charset="0"/>
                        <a:sym typeface="Times New Roman" charset="0"/>
                      </a:rPr>
                      <a:t>RMB 1,861, 4.</a:t>
                    </a:r>
                    <a:r>
                      <a:rPr lang="en-US" altLang="zh-CN" sz="650">
                        <a:latin typeface="Times New Roman" charset="0"/>
                        <a:ea typeface="Times New Roman" charset="0"/>
                        <a:cs typeface="Times New Roman" charset="0"/>
                        <a:sym typeface="Times New Roman" charset="0"/>
                      </a:rPr>
                      <a:t>5</a:t>
                    </a:r>
                    <a:r>
                      <a:rPr sz="650">
                        <a:latin typeface="Times New Roman" charset="0"/>
                        <a:ea typeface="Times New Roman" charset="0"/>
                        <a:cs typeface="Times New Roman" charset="0"/>
                        <a:sym typeface="Times New Roman" charset="0"/>
                      </a:rPr>
                      <a:t>%</a:t>
                    </a:r>
                    <a:endParaRPr sz="650">
                      <a:latin typeface="Times New Roman" charset="0"/>
                      <a:ea typeface="Times New Roman" charset="0"/>
                      <a:cs typeface="Times New Roman" charset="0"/>
                      <a:sym typeface="Times New Roman" charset="0"/>
                    </a:endParaRPr>
                  </a:p>
                </c:rich>
              </c:tx>
              <c:numFmt formatCode="0.0%" sourceLinked="false"/>
              <c:spPr>
                <a:noFill/>
                <a:ln>
                  <a:noFill/>
                </a:ln>
                <a:effectLst/>
              </c:spPr>
              <c:txPr>
                <a:bodyPr rot="0" spcFirstLastPara="0" vertOverflow="ellipsis" vert="horz" wrap="square" lIns="38100" tIns="19050" rIns="38100" bIns="19050" anchor="ctr" anchorCtr="true"/>
                <a:lstStyle/>
                <a:p>
                  <a:pPr>
                    <a:defRPr lang="zh-CN" sz="650" b="0" i="0" u="none" strike="noStrike" kern="1200" baseline="0">
                      <a:solidFill>
                        <a:srgbClr val="000000">
                          <a:alpha val="100000"/>
                        </a:srgbClr>
                      </a:solidFill>
                      <a:latin typeface="Times New Roman" charset="0"/>
                      <a:ea typeface="Times New Roman" charset="0"/>
                      <a:cs typeface="Times New Roman" charset="0"/>
                      <a:sym typeface="Times New Roman" charset="0"/>
                    </a:defRPr>
                  </a:pPr>
                </a:p>
              </c:txPr>
              <c:dLblPos val="bestFit"/>
              <c:showLegendKey val="false"/>
              <c:showVal val="true"/>
              <c:showCatName val="true"/>
              <c:showSerName val="false"/>
              <c:showPercent val="true"/>
              <c:showBubbleSize val="false"/>
              <c:extLst>
                <c:ext xmlns:c15="http://schemas.microsoft.com/office/drawing/2012/chart" uri="{CE6537A1-D6FC-4f65-9D91-7224C49458BB}">
                  <c15:layout>
                    <c:manualLayout>
                      <c:w val="0.178217821782178"/>
                      <c:h val="0.138300061741099"/>
                    </c:manualLayout>
                  </c15:layout>
                </c:ext>
              </c:extLst>
            </c:dLbl>
            <c:dLbl>
              <c:idx val="2"/>
              <c:layout>
                <c:manualLayout>
                  <c:x val="0.158252577780348"/>
                  <c:y val="-0.0312322479414593"/>
                </c:manualLayout>
              </c:layout>
              <c:tx>
                <c:rich>
                  <a:bodyPr rot="0" spcFirstLastPara="0" vertOverflow="ellipsis" vert="horz" wrap="square" lIns="38100" tIns="19050" rIns="38100" bIns="19050" anchor="ctr" anchorCtr="true"/>
                  <a:lstStyle/>
                  <a:p>
                    <a:pPr defTabSz="914400">
                      <a:defRPr lang="zh-CN" sz="650" b="0" i="0" u="none" strike="noStrike" kern="1200" baseline="0">
                        <a:solidFill>
                          <a:srgbClr val="000000">
                            <a:alpha val="100000"/>
                          </a:srgbClr>
                        </a:solidFill>
                        <a:latin typeface="Times New Roman" charset="0"/>
                        <a:ea typeface="Times New Roman" charset="0"/>
                        <a:cs typeface="Times New Roman" charset="0"/>
                        <a:sym typeface="Times New Roman" charset="0"/>
                      </a:defRPr>
                    </a:pPr>
                    <a:r>
                      <a:rPr sz="650">
                        <a:latin typeface="Times New Roman" charset="0"/>
                        <a:ea typeface="Times New Roman" charset="0"/>
                        <a:cs typeface="Times New Roman" charset="0"/>
                        <a:sym typeface="Times New Roman" charset="0"/>
                      </a:rPr>
                      <a:t>Housing, </a:t>
                    </a:r>
                    <a:endParaRPr sz="650">
                      <a:latin typeface="Times New Roman" charset="0"/>
                      <a:ea typeface="Times New Roman" charset="0"/>
                      <a:cs typeface="Times New Roman" charset="0"/>
                      <a:sym typeface="Times New Roman" charset="0"/>
                    </a:endParaRPr>
                  </a:p>
                  <a:p>
                    <a:pPr defTabSz="914400">
                      <a:defRPr lang="zh-CN" sz="650" b="0" i="0" u="none" strike="noStrike" kern="1200" baseline="0">
                        <a:solidFill>
                          <a:srgbClr val="000000">
                            <a:alpha val="100000"/>
                          </a:srgbClr>
                        </a:solidFill>
                        <a:latin typeface="Times New Roman" charset="0"/>
                        <a:ea typeface="Times New Roman" charset="0"/>
                        <a:cs typeface="Times New Roman" charset="0"/>
                        <a:sym typeface="Times New Roman" charset="0"/>
                      </a:defRPr>
                    </a:pPr>
                    <a:r>
                      <a:rPr sz="650">
                        <a:latin typeface="Times New Roman" charset="0"/>
                        <a:ea typeface="Times New Roman" charset="0"/>
                        <a:cs typeface="Times New Roman" charset="0"/>
                        <a:sym typeface="Times New Roman" charset="0"/>
                      </a:rPr>
                      <a:t>RMB 17,170, 40.2%</a:t>
                    </a:r>
                    <a:endParaRPr sz="650">
                      <a:latin typeface="Times New Roman" charset="0"/>
                      <a:ea typeface="Times New Roman" charset="0"/>
                      <a:cs typeface="Times New Roman" charset="0"/>
                      <a:sym typeface="Times New Roman" charset="0"/>
                    </a:endParaRPr>
                  </a:p>
                </c:rich>
              </c:tx>
              <c:numFmt formatCode="0.0%" sourceLinked="false"/>
              <c:spPr>
                <a:noFill/>
                <a:ln>
                  <a:noFill/>
                </a:ln>
                <a:effectLst/>
              </c:spPr>
              <c:txPr>
                <a:bodyPr rot="0" spcFirstLastPara="0" vertOverflow="ellipsis" vert="horz" wrap="square" lIns="38100" tIns="19050" rIns="38100" bIns="19050" anchor="ctr" anchorCtr="true"/>
                <a:lstStyle/>
                <a:p>
                  <a:pPr>
                    <a:defRPr lang="zh-CN" sz="650" b="0" i="0" u="none" strike="noStrike" kern="1200" baseline="0">
                      <a:solidFill>
                        <a:srgbClr val="000000">
                          <a:alpha val="100000"/>
                        </a:srgbClr>
                      </a:solidFill>
                      <a:latin typeface="Times New Roman" charset="0"/>
                      <a:ea typeface="Times New Roman" charset="0"/>
                      <a:cs typeface="Times New Roman" charset="0"/>
                      <a:sym typeface="Times New Roman" charset="0"/>
                    </a:defRPr>
                  </a:pPr>
                </a:p>
              </c:txPr>
              <c:dLblPos val="bestFit"/>
              <c:showLegendKey val="false"/>
              <c:showVal val="true"/>
              <c:showCatName val="true"/>
              <c:showSerName val="false"/>
              <c:showPercent val="true"/>
              <c:showBubbleSize val="false"/>
              <c:extLst>
                <c:ext xmlns:c15="http://schemas.microsoft.com/office/drawing/2012/chart" uri="{CE6537A1-D6FC-4f65-9D91-7224C49458BB}">
                  <c15:layout>
                    <c:manualLayout>
                      <c:w val="0.214653465346535"/>
                      <c:h val="0.116484873430747"/>
                    </c:manualLayout>
                  </c15:layout>
                </c:ext>
              </c:extLst>
            </c:dLbl>
            <c:dLbl>
              <c:idx val="3"/>
              <c:layout>
                <c:manualLayout>
                  <c:x val="-0.0492282203702623"/>
                  <c:y val="0.0182083332110304"/>
                </c:manualLayout>
              </c:layout>
              <c:tx>
                <c:rich>
                  <a:bodyPr rot="0" spcFirstLastPara="0" vertOverflow="ellipsis" vert="horz" wrap="square" lIns="38100" tIns="19050" rIns="38100" bIns="19050" anchor="ctr" anchorCtr="true"/>
                  <a:lstStyle/>
                  <a:p>
                    <a:pPr defTabSz="914400">
                      <a:defRPr lang="zh-CN" sz="650" b="0" i="0" u="none" strike="noStrike" kern="1200" baseline="0">
                        <a:solidFill>
                          <a:srgbClr val="333333"/>
                        </a:solidFill>
                        <a:latin typeface="Times New Roman" charset="0"/>
                        <a:ea typeface="Times New Roman" charset="0"/>
                        <a:cs typeface="Times New Roman" charset="0"/>
                        <a:sym typeface="Times New Roman" charset="0"/>
                      </a:defRPr>
                    </a:pPr>
                    <a:r>
                      <a:rPr sz="650">
                        <a:latin typeface="Times New Roman" charset="0"/>
                        <a:ea typeface="Times New Roman" charset="0"/>
                        <a:cs typeface="Times New Roman" charset="0"/>
                        <a:sym typeface="Times New Roman" charset="0"/>
                      </a:rPr>
                      <a:t>Household goods and services,</a:t>
                    </a:r>
                    <a:endParaRPr sz="650">
                      <a:latin typeface="Times New Roman" charset="0"/>
                      <a:ea typeface="Times New Roman" charset="0"/>
                      <a:cs typeface="Times New Roman" charset="0"/>
                      <a:sym typeface="Times New Roman" charset="0"/>
                    </a:endParaRPr>
                  </a:p>
                  <a:p>
                    <a:pPr defTabSz="914400">
                      <a:defRPr lang="zh-CN" sz="650" b="0" i="0" u="none" strike="noStrike" kern="1200" baseline="0">
                        <a:solidFill>
                          <a:srgbClr val="333333"/>
                        </a:solidFill>
                        <a:latin typeface="Times New Roman" charset="0"/>
                        <a:ea typeface="Times New Roman" charset="0"/>
                        <a:cs typeface="Times New Roman" charset="0"/>
                        <a:sym typeface="Times New Roman" charset="0"/>
                      </a:defRPr>
                    </a:pPr>
                    <a:r>
                      <a:rPr sz="650">
                        <a:latin typeface="Times New Roman" charset="0"/>
                        <a:ea typeface="Times New Roman" charset="0"/>
                        <a:cs typeface="Times New Roman" charset="0"/>
                        <a:sym typeface="Times New Roman" charset="0"/>
                      </a:rPr>
                      <a:t> RMB 2,193, 5.1%</a:t>
                    </a:r>
                    <a:endParaRPr sz="650" b="0" i="0" u="none" strike="noStrike" baseline="0">
                      <a:solidFill>
                        <a:srgbClr val="333333"/>
                      </a:solidFill>
                      <a:latin typeface="Times New Roman" charset="0"/>
                      <a:ea typeface="Times New Roman" charset="0"/>
                      <a:cs typeface="Times New Roman" charset="0"/>
                      <a:sym typeface="Times New Roman" charset="0"/>
                    </a:endParaRPr>
                  </a:p>
                </c:rich>
              </c:tx>
              <c:numFmt formatCode="0.0%" sourceLinked="false"/>
              <c:spPr>
                <a:noFill/>
                <a:ln>
                  <a:noFill/>
                </a:ln>
                <a:effectLst/>
              </c:spPr>
              <c:txPr>
                <a:bodyPr rot="0" spcFirstLastPara="0" vertOverflow="ellipsis" vert="horz" wrap="square" lIns="38100" tIns="19050" rIns="38100" bIns="19050" anchor="ctr" anchorCtr="true"/>
                <a:lstStyle/>
                <a:p>
                  <a:pPr>
                    <a:defRPr lang="zh-CN" sz="650" b="0" i="0" u="none" strike="noStrike" kern="1200" baseline="0">
                      <a:solidFill>
                        <a:srgbClr val="333333"/>
                      </a:solidFill>
                      <a:latin typeface="Times New Roman" charset="0"/>
                      <a:ea typeface="Times New Roman" charset="0"/>
                      <a:cs typeface="Times New Roman" charset="0"/>
                      <a:sym typeface="Times New Roman" charset="0"/>
                    </a:defRPr>
                  </a:pPr>
                </a:p>
              </c:txPr>
              <c:dLblPos val="bestFit"/>
              <c:showLegendKey val="false"/>
              <c:showVal val="true"/>
              <c:showCatName val="true"/>
              <c:showSerName val="false"/>
              <c:showPercent val="true"/>
              <c:showBubbleSize val="false"/>
              <c:extLst>
                <c:ext xmlns:c15="http://schemas.microsoft.com/office/drawing/2012/chart" uri="{CE6537A1-D6FC-4f65-9D91-7224C49458BB}">
                  <c15:layout>
                    <c:manualLayout>
                      <c:w val="0.214020180562932"/>
                      <c:h val="0.143012388611171"/>
                    </c:manualLayout>
                  </c15:layout>
                </c:ext>
              </c:extLst>
            </c:dLbl>
            <c:dLbl>
              <c:idx val="4"/>
              <c:layout>
                <c:manualLayout>
                  <c:x val="-0.0210293912257302"/>
                  <c:y val="-0.022169093675288"/>
                </c:manualLayout>
              </c:layout>
              <c:tx>
                <c:rich>
                  <a:bodyPr rot="0" spcFirstLastPara="0" vertOverflow="ellipsis" vert="horz" wrap="square" lIns="38100" tIns="19050" rIns="38100" bIns="19050" anchor="ctr" anchorCtr="true"/>
                  <a:lstStyle/>
                  <a:p>
                    <a:pPr defTabSz="914400">
                      <a:defRPr lang="zh-CN" sz="650" b="0" i="0" u="none" strike="noStrike" kern="1200" baseline="0">
                        <a:solidFill>
                          <a:srgbClr val="000000">
                            <a:alpha val="100000"/>
                          </a:srgbClr>
                        </a:solidFill>
                        <a:latin typeface="Times New Roman" charset="0"/>
                        <a:ea typeface="Times New Roman" charset="0"/>
                        <a:cs typeface="Times New Roman" charset="0"/>
                        <a:sym typeface="Times New Roman" charset="0"/>
                      </a:defRPr>
                    </a:pPr>
                    <a:r>
                      <a:rPr sz="650">
                        <a:latin typeface="Times New Roman" charset="0"/>
                        <a:ea typeface="Times New Roman" charset="0"/>
                        <a:cs typeface="Times New Roman" charset="0"/>
                        <a:sym typeface="Times New Roman" charset="0"/>
                      </a:rPr>
                      <a:t>Transportation and communication, </a:t>
                    </a:r>
                    <a:endParaRPr sz="650">
                      <a:latin typeface="Times New Roman" charset="0"/>
                      <a:ea typeface="Times New Roman" charset="0"/>
                      <a:cs typeface="Times New Roman" charset="0"/>
                      <a:sym typeface="Times New Roman" charset="0"/>
                    </a:endParaRPr>
                  </a:p>
                  <a:p>
                    <a:pPr defTabSz="914400">
                      <a:defRPr lang="zh-CN" sz="650" b="0" i="0" u="none" strike="noStrike" kern="1200" baseline="0">
                        <a:solidFill>
                          <a:srgbClr val="000000">
                            <a:alpha val="100000"/>
                          </a:srgbClr>
                        </a:solidFill>
                        <a:latin typeface="Times New Roman" charset="0"/>
                        <a:ea typeface="Times New Roman" charset="0"/>
                        <a:cs typeface="Times New Roman" charset="0"/>
                        <a:sym typeface="Times New Roman" charset="0"/>
                      </a:defRPr>
                    </a:pPr>
                    <a:r>
                      <a:rPr sz="650">
                        <a:latin typeface="Times New Roman" charset="0"/>
                        <a:ea typeface="Times New Roman" charset="0"/>
                        <a:cs typeface="Times New Roman" charset="0"/>
                        <a:sym typeface="Times New Roman" charset="0"/>
                      </a:rPr>
                      <a:t>RMB 4,129, 9.7%</a:t>
                    </a:r>
                    <a:endParaRPr sz="650">
                      <a:latin typeface="Times New Roman" charset="0"/>
                      <a:ea typeface="Times New Roman" charset="0"/>
                      <a:cs typeface="Times New Roman" charset="0"/>
                      <a:sym typeface="Times New Roman" charset="0"/>
                    </a:endParaRPr>
                  </a:p>
                </c:rich>
              </c:tx>
              <c:numFmt formatCode="0.0%" sourceLinked="false"/>
              <c:spPr>
                <a:noFill/>
                <a:ln>
                  <a:noFill/>
                </a:ln>
                <a:effectLst/>
              </c:spPr>
              <c:txPr>
                <a:bodyPr rot="0" spcFirstLastPara="0" vertOverflow="ellipsis" vert="horz" wrap="square" lIns="38100" tIns="19050" rIns="38100" bIns="19050" anchor="ctr" anchorCtr="true"/>
                <a:lstStyle/>
                <a:p>
                  <a:pPr>
                    <a:defRPr lang="zh-CN" sz="650" b="0" i="0" u="none" strike="noStrike" kern="1200" baseline="0">
                      <a:solidFill>
                        <a:srgbClr val="000000">
                          <a:alpha val="100000"/>
                        </a:srgbClr>
                      </a:solidFill>
                      <a:latin typeface="Times New Roman" charset="0"/>
                      <a:ea typeface="Times New Roman" charset="0"/>
                      <a:cs typeface="Times New Roman" charset="0"/>
                      <a:sym typeface="Times New Roman" charset="0"/>
                    </a:defRPr>
                  </a:pPr>
                </a:p>
              </c:txPr>
              <c:dLblPos val="bestFit"/>
              <c:showLegendKey val="false"/>
              <c:showVal val="true"/>
              <c:showCatName val="true"/>
              <c:showSerName val="false"/>
              <c:showPercent val="true"/>
              <c:showBubbleSize val="false"/>
              <c:extLst>
                <c:ext xmlns:c15="http://schemas.microsoft.com/office/drawing/2012/chart" uri="{CE6537A1-D6FC-4f65-9D91-7224C49458BB}">
                  <c15:layout>
                    <c:manualLayout>
                      <c:w val="0.201452145214521"/>
                      <c:h val="0.137888454414489"/>
                    </c:manualLayout>
                  </c15:layout>
                </c:ext>
              </c:extLst>
            </c:dLbl>
            <c:dLbl>
              <c:idx val="5"/>
              <c:layout>
                <c:manualLayout>
                  <c:x val="-0.056558682952735"/>
                  <c:y val="0.00369484894588133"/>
                </c:manualLayout>
              </c:layout>
              <c:tx>
                <c:rich>
                  <a:bodyPr rot="0" spcFirstLastPara="0" vertOverflow="ellipsis" vert="horz" wrap="square" lIns="38100" tIns="19050" rIns="38100" bIns="19050" anchor="ctr" anchorCtr="true"/>
                  <a:lstStyle/>
                  <a:p>
                    <a:pPr defTabSz="914400">
                      <a:defRPr lang="zh-CN" sz="650" b="0" i="0" u="none" strike="noStrike" kern="1200" baseline="0">
                        <a:solidFill>
                          <a:srgbClr val="000000">
                            <a:alpha val="100000"/>
                          </a:srgbClr>
                        </a:solidFill>
                        <a:latin typeface="Times New Roman" charset="0"/>
                        <a:ea typeface="Times New Roman" charset="0"/>
                        <a:cs typeface="Times New Roman" charset="0"/>
                        <a:sym typeface="Times New Roman" charset="0"/>
                      </a:defRPr>
                    </a:pPr>
                    <a:r>
                      <a:rPr sz="650">
                        <a:latin typeface="Times New Roman" charset="0"/>
                        <a:ea typeface="Times New Roman" charset="0"/>
                        <a:cs typeface="Times New Roman" charset="0"/>
                        <a:sym typeface="Times New Roman" charset="0"/>
                      </a:rPr>
                      <a:t>Education, culture and entertainment,</a:t>
                    </a:r>
                    <a:endParaRPr sz="650">
                      <a:latin typeface="Times New Roman" charset="0"/>
                      <a:ea typeface="Times New Roman" charset="0"/>
                      <a:cs typeface="Times New Roman" charset="0"/>
                      <a:sym typeface="Times New Roman" charset="0"/>
                    </a:endParaRPr>
                  </a:p>
                  <a:p>
                    <a:pPr defTabSz="914400">
                      <a:defRPr lang="zh-CN" sz="650" b="0" i="0" u="none" strike="noStrike" kern="1200" baseline="0">
                        <a:solidFill>
                          <a:srgbClr val="000000">
                            <a:alpha val="100000"/>
                          </a:srgbClr>
                        </a:solidFill>
                        <a:latin typeface="Times New Roman" charset="0"/>
                        <a:ea typeface="Times New Roman" charset="0"/>
                        <a:cs typeface="Times New Roman" charset="0"/>
                        <a:sym typeface="Times New Roman" charset="0"/>
                      </a:defRPr>
                    </a:pPr>
                    <a:r>
                      <a:rPr sz="650">
                        <a:latin typeface="Times New Roman" charset="0"/>
                        <a:ea typeface="Times New Roman" charset="0"/>
                        <a:cs typeface="Times New Roman" charset="0"/>
                        <a:sym typeface="Times New Roman" charset="0"/>
                      </a:rPr>
                      <a:t> RMB 3,008, 7.0%</a:t>
                    </a:r>
                    <a:endParaRPr sz="650">
                      <a:latin typeface="Times New Roman" charset="0"/>
                      <a:ea typeface="Times New Roman" charset="0"/>
                      <a:cs typeface="Times New Roman" charset="0"/>
                      <a:sym typeface="Times New Roman" charset="0"/>
                    </a:endParaRPr>
                  </a:p>
                </c:rich>
              </c:tx>
              <c:numFmt formatCode="0.0%" sourceLinked="false"/>
              <c:spPr>
                <a:noFill/>
                <a:ln>
                  <a:noFill/>
                </a:ln>
                <a:effectLst/>
              </c:spPr>
              <c:txPr>
                <a:bodyPr rot="0" spcFirstLastPara="0" vertOverflow="ellipsis" vert="horz" wrap="square" lIns="38100" tIns="19050" rIns="38100" bIns="19050" anchor="ctr" anchorCtr="true"/>
                <a:lstStyle/>
                <a:p>
                  <a:pPr>
                    <a:defRPr lang="zh-CN" sz="650" b="0" i="0" u="none" strike="noStrike" kern="1200" baseline="0">
                      <a:solidFill>
                        <a:srgbClr val="000000">
                          <a:alpha val="100000"/>
                        </a:srgbClr>
                      </a:solidFill>
                      <a:latin typeface="Times New Roman" charset="0"/>
                      <a:ea typeface="Times New Roman" charset="0"/>
                      <a:cs typeface="Times New Roman" charset="0"/>
                      <a:sym typeface="Times New Roman" charset="0"/>
                    </a:defRPr>
                  </a:pPr>
                </a:p>
              </c:txPr>
              <c:dLblPos val="bestFit"/>
              <c:showLegendKey val="false"/>
              <c:showVal val="true"/>
              <c:showCatName val="true"/>
              <c:showSerName val="false"/>
              <c:showPercent val="true"/>
              <c:showBubbleSize val="false"/>
              <c:extLst>
                <c:ext xmlns:c15="http://schemas.microsoft.com/office/drawing/2012/chart" uri="{CE6537A1-D6FC-4f65-9D91-7224C49458BB}">
                  <c15:layout>
                    <c:manualLayout>
                      <c:w val="0.215313531353135"/>
                      <c:h val="0.12451121629965"/>
                    </c:manualLayout>
                  </c15:layout>
                </c:ext>
              </c:extLst>
            </c:dLbl>
            <c:dLbl>
              <c:idx val="6"/>
              <c:layout>
                <c:manualLayout>
                  <c:x val="-0.101571064014441"/>
                  <c:y val="-0.00598076013679446"/>
                </c:manualLayout>
              </c:layout>
              <c:tx>
                <c:rich>
                  <a:bodyPr rot="0" spcFirstLastPara="0" vertOverflow="ellipsis" vert="horz" wrap="square" lIns="38100" tIns="19050" rIns="38100" bIns="19050" anchor="ctr" anchorCtr="true"/>
                  <a:lstStyle/>
                  <a:p>
                    <a:pPr defTabSz="914400">
                      <a:defRPr lang="zh-CN" sz="650" b="0" i="0" u="none" strike="noStrike" kern="1200" baseline="0">
                        <a:solidFill>
                          <a:srgbClr val="333333"/>
                        </a:solidFill>
                        <a:latin typeface="Times New Roman" charset="0"/>
                        <a:ea typeface="Times New Roman" charset="0"/>
                        <a:cs typeface="Times New Roman" charset="0"/>
                        <a:sym typeface="Times New Roman" charset="0"/>
                      </a:defRPr>
                    </a:pPr>
                    <a:r>
                      <a:rPr sz="650">
                        <a:latin typeface="Times New Roman" charset="0"/>
                        <a:ea typeface="Times New Roman" charset="0"/>
                        <a:cs typeface="Times New Roman" charset="0"/>
                        <a:sym typeface="Times New Roman" charset="0"/>
                      </a:rPr>
                      <a:t>Healthcare, </a:t>
                    </a:r>
                    <a:endParaRPr sz="650">
                      <a:latin typeface="Times New Roman" charset="0"/>
                      <a:ea typeface="Times New Roman" charset="0"/>
                      <a:cs typeface="Times New Roman" charset="0"/>
                      <a:sym typeface="Times New Roman" charset="0"/>
                    </a:endParaRPr>
                  </a:p>
                  <a:p>
                    <a:pPr defTabSz="914400">
                      <a:defRPr lang="zh-CN" sz="650" b="0" i="0" u="none" strike="noStrike" kern="1200" baseline="0">
                        <a:solidFill>
                          <a:srgbClr val="333333"/>
                        </a:solidFill>
                        <a:latin typeface="Times New Roman" charset="0"/>
                        <a:ea typeface="Times New Roman" charset="0"/>
                        <a:cs typeface="Times New Roman" charset="0"/>
                        <a:sym typeface="Times New Roman" charset="0"/>
                      </a:defRPr>
                    </a:pPr>
                    <a:r>
                      <a:rPr sz="650">
                        <a:latin typeface="Times New Roman" charset="0"/>
                        <a:ea typeface="Times New Roman" charset="0"/>
                        <a:cs typeface="Times New Roman" charset="0"/>
                        <a:sym typeface="Times New Roman" charset="0"/>
                      </a:rPr>
                      <a:t>RMB 3,982, 9.3%</a:t>
                    </a:r>
                    <a:endParaRPr sz="650" b="0" i="0" u="none" strike="noStrike" baseline="0">
                      <a:solidFill>
                        <a:srgbClr val="333333"/>
                      </a:solidFill>
                      <a:latin typeface="Times New Roman" charset="0"/>
                      <a:ea typeface="Times New Roman" charset="0"/>
                      <a:cs typeface="Times New Roman" charset="0"/>
                      <a:sym typeface="Times New Roman" charset="0"/>
                    </a:endParaRPr>
                  </a:p>
                </c:rich>
              </c:tx>
              <c:numFmt formatCode="0.0%" sourceLinked="false"/>
              <c:spPr>
                <a:noFill/>
                <a:ln>
                  <a:noFill/>
                </a:ln>
                <a:effectLst/>
              </c:spPr>
              <c:txPr>
                <a:bodyPr rot="0" spcFirstLastPara="0" vertOverflow="ellipsis" vert="horz" wrap="square" lIns="38100" tIns="19050" rIns="38100" bIns="19050" anchor="ctr" anchorCtr="true"/>
                <a:lstStyle/>
                <a:p>
                  <a:pPr>
                    <a:defRPr lang="zh-CN" sz="650" b="0" i="0" u="none" strike="noStrike" kern="1200" baseline="0">
                      <a:solidFill>
                        <a:srgbClr val="333333"/>
                      </a:solidFill>
                      <a:latin typeface="Times New Roman" charset="0"/>
                      <a:ea typeface="Times New Roman" charset="0"/>
                      <a:cs typeface="Times New Roman" charset="0"/>
                      <a:sym typeface="Times New Roman" charset="0"/>
                    </a:defRPr>
                  </a:pPr>
                </a:p>
              </c:txPr>
              <c:dLblPos val="bestFit"/>
              <c:showLegendKey val="false"/>
              <c:showVal val="true"/>
              <c:showCatName val="true"/>
              <c:showSerName val="false"/>
              <c:showPercent val="true"/>
              <c:showBubbleSize val="false"/>
              <c:extLst>
                <c:ext xmlns:c15="http://schemas.microsoft.com/office/drawing/2012/chart" uri="{CE6537A1-D6FC-4f65-9D91-7224C49458BB}">
                  <c15:layout>
                    <c:manualLayout>
                      <c:w val="0.171749174917492"/>
                      <c:h val="0.107429512245318"/>
                    </c:manualLayout>
                  </c15:layout>
                </c:ext>
              </c:extLst>
            </c:dLbl>
            <c:dLbl>
              <c:idx val="7"/>
              <c:layout>
                <c:manualLayout>
                  <c:x val="0.246727128558278"/>
                  <c:y val="0.0288109207592038"/>
                </c:manualLayout>
              </c:layout>
              <c:tx>
                <c:rich>
                  <a:bodyPr rot="0" spcFirstLastPara="0" vertOverflow="ellipsis" vert="horz" wrap="square" lIns="38100" tIns="19050" rIns="38100" bIns="19050" anchor="ctr" anchorCtr="true"/>
                  <a:lstStyle/>
                  <a:p>
                    <a:pPr defTabSz="914400">
                      <a:defRPr lang="zh-CN" sz="650" b="0" i="0" u="none" strike="noStrike" kern="1200" baseline="0">
                        <a:solidFill>
                          <a:srgbClr val="333333"/>
                        </a:solidFill>
                        <a:latin typeface="Times New Roman" charset="0"/>
                        <a:ea typeface="Times New Roman" charset="0"/>
                        <a:cs typeface="Times New Roman" charset="0"/>
                        <a:sym typeface="Times New Roman" charset="0"/>
                      </a:defRPr>
                    </a:pPr>
                    <a:r>
                      <a:rPr sz="650">
                        <a:latin typeface="Times New Roman" charset="0"/>
                        <a:ea typeface="Times New Roman" charset="0"/>
                        <a:cs typeface="Times New Roman" charset="0"/>
                        <a:sym typeface="Times New Roman" charset="0"/>
                      </a:rPr>
                      <a:t>Other supplies and services, </a:t>
                    </a:r>
                    <a:endParaRPr sz="650">
                      <a:latin typeface="Times New Roman" charset="0"/>
                      <a:ea typeface="Times New Roman" charset="0"/>
                      <a:cs typeface="Times New Roman" charset="0"/>
                      <a:sym typeface="Times New Roman" charset="0"/>
                    </a:endParaRPr>
                  </a:p>
                  <a:p>
                    <a:pPr defTabSz="914400">
                      <a:defRPr lang="zh-CN" sz="650" b="0" i="0" u="none" strike="noStrike" kern="1200" baseline="0">
                        <a:solidFill>
                          <a:srgbClr val="333333"/>
                        </a:solidFill>
                        <a:latin typeface="Times New Roman" charset="0"/>
                        <a:ea typeface="Times New Roman" charset="0"/>
                        <a:cs typeface="Times New Roman" charset="0"/>
                        <a:sym typeface="Times New Roman" charset="0"/>
                      </a:defRPr>
                    </a:pPr>
                    <a:r>
                      <a:rPr sz="650">
                        <a:latin typeface="Times New Roman" charset="0"/>
                        <a:ea typeface="Times New Roman" charset="0"/>
                        <a:cs typeface="Times New Roman" charset="0"/>
                        <a:sym typeface="Times New Roman" charset="0"/>
                      </a:rPr>
                      <a:t>RMB 1,117, 2.6%</a:t>
                    </a:r>
                    <a:endParaRPr sz="650" b="0" i="0" u="none" strike="noStrike" baseline="0">
                      <a:solidFill>
                        <a:srgbClr val="333333"/>
                      </a:solidFill>
                      <a:latin typeface="Times New Roman" charset="0"/>
                      <a:ea typeface="Times New Roman" charset="0"/>
                      <a:cs typeface="Times New Roman" charset="0"/>
                      <a:sym typeface="Times New Roman" charset="0"/>
                    </a:endParaRPr>
                  </a:p>
                </c:rich>
              </c:tx>
              <c:numFmt formatCode="0.0%" sourceLinked="false"/>
              <c:spPr>
                <a:noFill/>
                <a:ln>
                  <a:noFill/>
                </a:ln>
                <a:effectLst/>
              </c:spPr>
              <c:txPr>
                <a:bodyPr rot="0" spcFirstLastPara="0" vertOverflow="ellipsis" vert="horz" wrap="square" lIns="38100" tIns="19050" rIns="38100" bIns="19050" anchor="ctr" anchorCtr="true"/>
                <a:lstStyle/>
                <a:p>
                  <a:pPr>
                    <a:defRPr lang="zh-CN" sz="650" b="0" i="0" u="none" strike="noStrike" kern="1200" baseline="0">
                      <a:solidFill>
                        <a:srgbClr val="333333"/>
                      </a:solidFill>
                      <a:latin typeface="Times New Roman" charset="0"/>
                      <a:ea typeface="Times New Roman" charset="0"/>
                      <a:cs typeface="Times New Roman" charset="0"/>
                      <a:sym typeface="Times New Roman" charset="0"/>
                    </a:defRPr>
                  </a:pPr>
                </a:p>
              </c:txPr>
              <c:dLblPos val="bestFit"/>
              <c:showLegendKey val="false"/>
              <c:showVal val="true"/>
              <c:showCatName val="true"/>
              <c:showSerName val="false"/>
              <c:showPercent val="true"/>
              <c:showBubbleSize val="false"/>
              <c:extLst>
                <c:ext xmlns:c15="http://schemas.microsoft.com/office/drawing/2012/chart" uri="{CE6537A1-D6FC-4f65-9D91-7224C49458BB}">
                  <c15:layout>
                    <c:manualLayout>
                      <c:w val="0.297821782178218"/>
                      <c:h val="0.0802634286890307"/>
                    </c:manualLayout>
                  </c15:layout>
                </c:ext>
              </c:extLst>
            </c:dLbl>
            <c:numFmt formatCode="0.0%" sourceLinked="false"/>
            <c:spPr>
              <a:noFill/>
              <a:ln>
                <a:noFill/>
              </a:ln>
              <a:effectLst/>
            </c:spPr>
            <c:txPr>
              <a:bodyPr rot="0" spcFirstLastPara="0" vertOverflow="ellipsis" vert="horz" wrap="square" lIns="38100" tIns="19050" rIns="38100" bIns="19050" anchor="ctr" anchorCtr="true">
                <a:spAutoFit/>
              </a:bodyPr>
              <a:lstStyle/>
              <a:p>
                <a:pPr>
                  <a:defRPr lang="zh-CN" sz="650" b="0" i="0" u="none" strike="noStrike" kern="1200" baseline="0">
                    <a:solidFill>
                      <a:srgbClr val="333333"/>
                    </a:solidFill>
                    <a:latin typeface="Times New Roman" charset="0"/>
                    <a:ea typeface="Times New Roman" charset="0"/>
                    <a:cs typeface="Times New Roman" charset="0"/>
                    <a:sym typeface="Times New Roman" charset="0"/>
                  </a:defRPr>
                </a:pPr>
              </a:p>
            </c:txPr>
            <c:dLblPos val="outEnd"/>
            <c:showLegendKey val="false"/>
            <c:showVal val="true"/>
            <c:showCatName val="tru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rgbClr val="969696">
                          <a:alpha val="100000"/>
                        </a:srgbClr>
                      </a:solidFill>
                      <a:prstDash val="solid"/>
                      <a:round/>
                    </a:ln>
                  </c:spPr>
                </c15:leaderLines>
              </c:ext>
            </c:extLst>
          </c:dLbls>
          <c:cat>
            <c:strRef>
              <c:f>'[（编辑用）作图.xls]图 '!$M$125:$M$132</c:f>
              <c:strCache>
                <c:ptCount val="8"/>
                <c:pt idx="0">
                  <c:v>Food, tobacco and alcohol</c:v>
                </c:pt>
                <c:pt idx="1">
                  <c:v>Clothing</c:v>
                </c:pt>
                <c:pt idx="2">
                  <c:v>Housing</c:v>
                </c:pt>
                <c:pt idx="3">
                  <c:v>Household goods and services</c:v>
                </c:pt>
                <c:pt idx="4">
                  <c:v>Transportation and communication</c:v>
                </c:pt>
                <c:pt idx="5">
                  <c:v>Education, culture and entertainment</c:v>
                </c:pt>
                <c:pt idx="6">
                  <c:v>Healthcare</c:v>
                </c:pt>
                <c:pt idx="7">
                  <c:v>Other supplies and services</c:v>
                </c:pt>
              </c:strCache>
            </c:strRef>
          </c:cat>
          <c:val>
            <c:numRef>
              <c:f>'[（编辑用）作图.xls]图 '!$O$125:$O$132</c:f>
              <c:numCache>
                <c:formatCode>#,##0;[Red]#,##0</c:formatCode>
                <c:ptCount val="8"/>
                <c:pt idx="0">
                  <c:v>9223</c:v>
                </c:pt>
                <c:pt idx="1">
                  <c:v>1861</c:v>
                </c:pt>
                <c:pt idx="2">
                  <c:v>17170</c:v>
                </c:pt>
                <c:pt idx="3">
                  <c:v>2193</c:v>
                </c:pt>
                <c:pt idx="4">
                  <c:v>4129</c:v>
                </c:pt>
                <c:pt idx="5">
                  <c:v>3008</c:v>
                </c:pt>
                <c:pt idx="6">
                  <c:v>3982</c:v>
                </c:pt>
                <c:pt idx="7">
                  <c:v>1117</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rot="0" wrap="square" anchor="ctr" anchorCtr="true"/>
    <a:lstStyle/>
    <a:p>
      <a:pPr>
        <a:defRPr lang="zh-CN" sz="10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defRPr>
      </a:pPr>
    </a:p>
  </c:txPr>
  <c:externalData r:id="rId1">
    <c:autoUpdate val="false"/>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884818779827164"/>
          <c:y val="0.158509861212564"/>
          <c:w val="0.894105507545466"/>
          <c:h val="0.730947163379596"/>
        </c:manualLayout>
      </c:layout>
      <c:barChart>
        <c:barDir val="col"/>
        <c:grouping val="clustered"/>
        <c:varyColors val="false"/>
        <c:ser>
          <c:idx val="0"/>
          <c:order val="0"/>
          <c:tx>
            <c:strRef>
              <c:f>表!$A$34</c:f>
              <c:strCache>
                <c:ptCount val="1"/>
                <c:pt idx="0">
                  <c:v>绝对量</c:v>
                </c:pt>
              </c:strCache>
            </c:strRef>
          </c:tx>
          <c:spPr>
            <a:solidFill>
              <a:srgbClr val="99CCFF"/>
            </a:solidFill>
            <a:ln w="19050">
              <a:solidFill>
                <a:srgbClr val="000000"/>
              </a:solidFill>
            </a:ln>
            <a:effectLst>
              <a:softEdge rad="12700"/>
            </a:effectLst>
          </c:spPr>
          <c:invertIfNegative val="false"/>
          <c:dLbls>
            <c:spPr>
              <a:noFill/>
              <a:ln w="25400">
                <a:noFill/>
              </a:ln>
              <a:effectLst/>
            </c:spPr>
            <c:txPr>
              <a:bodyPr rot="0" spcFirstLastPara="0" vertOverflow="ellipsis" vert="horz" wrap="square" lIns="38100" tIns="19050" rIns="38100" bIns="19050" anchor="ctr" anchorCtr="true">
                <a:spAutoFit/>
              </a:bodyPr>
              <a:lstStyle/>
              <a:p>
                <a:pPr>
                  <a:defRPr lang="zh-CN" sz="1000" b="1"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numRef>
              <c:f>表!$B$33:$F$33</c:f>
              <c:numCache>
                <c:formatCode>General</c:formatCode>
                <c:ptCount val="5"/>
                <c:pt idx="0">
                  <c:v>2018</c:v>
                </c:pt>
                <c:pt idx="1">
                  <c:v>2019</c:v>
                </c:pt>
                <c:pt idx="2">
                  <c:v>2020</c:v>
                </c:pt>
                <c:pt idx="3">
                  <c:v>2021</c:v>
                </c:pt>
                <c:pt idx="4">
                  <c:v>2022</c:v>
                </c:pt>
              </c:numCache>
            </c:numRef>
          </c:cat>
          <c:val>
            <c:numRef>
              <c:f>表!$B$34:$F$34</c:f>
              <c:numCache>
                <c:formatCode>0_ </c:formatCode>
                <c:ptCount val="5"/>
                <c:pt idx="0">
                  <c:v>51</c:v>
                </c:pt>
                <c:pt idx="1">
                  <c:v>42</c:v>
                </c:pt>
                <c:pt idx="2">
                  <c:v>38</c:v>
                </c:pt>
                <c:pt idx="3">
                  <c:v>33</c:v>
                </c:pt>
                <c:pt idx="4">
                  <c:v>30</c:v>
                </c:pt>
              </c:numCache>
            </c:numRef>
          </c:val>
        </c:ser>
        <c:dLbls>
          <c:showLegendKey val="false"/>
          <c:showVal val="false"/>
          <c:showCatName val="false"/>
          <c:showSerName val="false"/>
          <c:showPercent val="false"/>
          <c:showBubbleSize val="false"/>
        </c:dLbls>
        <c:gapWidth val="219"/>
        <c:overlap val="-27"/>
        <c:axId val="390337744"/>
        <c:axId val="1"/>
      </c:barChart>
      <c:catAx>
        <c:axId val="390337744"/>
        <c:scaling>
          <c:orientation val="minMax"/>
        </c:scaling>
        <c:delete val="false"/>
        <c:axPos val="b"/>
        <c:numFmt formatCode="General" sourceLinked="true"/>
        <c:majorTickMark val="none"/>
        <c:minorTickMark val="none"/>
        <c:tickLblPos val="nextTo"/>
        <c:spPr>
          <a:ln w="3175" cap="flat" cmpd="sng" algn="ctr">
            <a:solidFill>
              <a:srgbClr val="000000"/>
            </a:solidFill>
            <a:prstDash val="solid"/>
            <a:round/>
          </a:ln>
        </c:spPr>
        <c:txPr>
          <a:bodyPr rot="0" spcFirstLastPara="0" vertOverflow="ellipsis" vert="horz" wrap="square" anchor="ctr" anchorCtr="true"/>
          <a:lstStyle/>
          <a:p>
            <a:pPr>
              <a:defRPr lang="zh-CN" sz="1000" b="1" i="0" u="none" strike="noStrike" kern="1200" baseline="0">
                <a:solidFill>
                  <a:srgbClr val="333333"/>
                </a:solidFill>
                <a:latin typeface="Times New Roman" charset="0"/>
                <a:ea typeface="宋体" panose="02010600030101010101" charset="-122"/>
                <a:cs typeface="宋体" panose="02010600030101010101" charset="-122"/>
              </a:defRPr>
            </a:pPr>
          </a:p>
        </c:txPr>
        <c:crossAx val="1"/>
        <c:crosses val="autoZero"/>
        <c:auto val="true"/>
        <c:lblAlgn val="ctr"/>
        <c:lblOffset val="100"/>
        <c:noMultiLvlLbl val="false"/>
      </c:catAx>
      <c:valAx>
        <c:axId val="1"/>
        <c:scaling>
          <c:orientation val="minMax"/>
          <c:max val="60"/>
          <c:min val="0"/>
        </c:scaling>
        <c:delete val="false"/>
        <c:axPos val="l"/>
        <c:title>
          <c:tx>
            <c:rich>
              <a:bodyPr rot="0" spcFirstLastPara="0" vertOverflow="ellipsis" vert="horz" wrap="square" anchor="ctr" anchorCtr="true"/>
              <a:lstStyle/>
              <a:p>
                <a:pPr algn="ctr">
                  <a:defRPr lang="zh-CN" sz="1100" b="0" i="0" u="none" strike="noStrike" kern="1200" baseline="0">
                    <a:solidFill>
                      <a:srgbClr val="000000"/>
                    </a:solidFill>
                    <a:latin typeface="Calibri" panose="020F0502020204030204"/>
                    <a:ea typeface="Calibri" panose="020F0502020204030204"/>
                    <a:cs typeface="Calibri" panose="020F0502020204030204"/>
                  </a:defRPr>
                </a:pPr>
                <a:r>
                  <a:rPr lang="en-US" altLang="zh-CN" sz="1000" b="1">
                    <a:effectLst/>
                    <a:latin typeface="Times New Roman" charset="0"/>
                    <a:cs typeface="Times New Roman" charset="0"/>
                  </a:rPr>
                  <a:t>μg/m</a:t>
                </a:r>
                <a:r>
                  <a:rPr lang="en-US" altLang="zh-CN" sz="1000" b="1" baseline="30000">
                    <a:effectLst/>
                    <a:latin typeface="Times New Roman" charset="0"/>
                    <a:cs typeface="Times New Roman" charset="0"/>
                  </a:rPr>
                  <a:t>3</a:t>
                </a:r>
                <a:endParaRPr lang="zh-CN" altLang="zh-CN" sz="1000" b="1">
                  <a:effectLst/>
                  <a:latin typeface="Times New Roman" charset="0"/>
                  <a:cs typeface="Times New Roman" charset="0"/>
                </a:endParaRPr>
              </a:p>
            </c:rich>
          </c:tx>
          <c:layout>
            <c:manualLayout>
              <c:xMode val="edge"/>
              <c:yMode val="edge"/>
              <c:x val="0.00386991449077715"/>
              <c:y val="0.0182319432293186"/>
            </c:manualLayout>
          </c:layout>
          <c:overlay val="false"/>
          <c:spPr>
            <a:noFill/>
            <a:ln w="3175">
              <a:noFill/>
            </a:ln>
          </c:spPr>
        </c:title>
        <c:numFmt formatCode="0_);[Red]\(0\)" sourceLinked="false"/>
        <c:majorTickMark val="in"/>
        <c:minorTickMark val="none"/>
        <c:tickLblPos val="nextTo"/>
        <c:spPr>
          <a:ln w="12700" cap="flat" cmpd="sng" algn="ctr">
            <a:solidFill>
              <a:srgbClr val="000000"/>
            </a:solidFill>
            <a:prstDash val="solid"/>
            <a:round/>
          </a:ln>
        </c:spPr>
        <c:txPr>
          <a:bodyPr rot="0" spcFirstLastPara="0" vertOverflow="ellipsis" vert="horz" wrap="square" anchor="ctr" anchorCtr="true"/>
          <a:lstStyle/>
          <a:p>
            <a:pPr>
              <a:defRPr lang="zh-CN" sz="1000" b="1"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390337744"/>
        <c:crosses val="autoZero"/>
        <c:crossBetween val="between"/>
        <c:majorUnit val="20"/>
      </c:valAx>
      <c:spPr>
        <a:noFill/>
        <a:ln w="25400">
          <a:noFill/>
        </a:ln>
      </c:spPr>
    </c:plotArea>
    <c:plotVisOnly val="true"/>
    <c:dispBlanksAs val="gap"/>
    <c:showDLblsOverMax val="false"/>
  </c:chart>
  <c:spPr>
    <a:solidFill>
      <a:schemeClr val="bg1"/>
    </a:solidFill>
    <a:ln w="9525" cap="flat" cmpd="sng" algn="ctr">
      <a:noFill/>
      <a:prstDash val="solid"/>
      <a:round/>
    </a:ln>
    <a:effectLst/>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false"/>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Founder PC</Company>
  <Pages>34</Pages>
  <Words>6194</Words>
  <Characters>35309</Characters>
  <Lines>294</Lines>
  <Paragraphs>82</Paragraphs>
  <TotalTime>90</TotalTime>
  <ScaleCrop>false</ScaleCrop>
  <LinksUpToDate>false</LinksUpToDate>
  <CharactersWithSpaces>41421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2023-03-20T07:05:00Z</dcterms:created>
  <dc:creator>刘雅君</dc:creator>
  <cp:lastModifiedBy>bjtjj</cp:lastModifiedBy>
  <cp:lastPrinted>2021-02-25T10:54:00Z</cp:lastPrinted>
  <dcterms:modified xsi:type="dcterms:W3CDTF">2023-03-22T17:47:50Z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02A520DCE48B4912AD06B8E9577D533B</vt:lpwstr>
  </property>
</Properties>
</file>