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4E1" w:rsidRPr="00F504E1" w:rsidRDefault="00F504E1" w:rsidP="00F504E1">
      <w:pPr>
        <w:adjustRightInd w:val="0"/>
        <w:snapToGrid w:val="0"/>
        <w:spacing w:line="520" w:lineRule="exact"/>
        <w:rPr>
          <w:rFonts w:ascii="黑体" w:eastAsia="黑体" w:hAnsi="黑体" w:cs="黑体"/>
          <w:sz w:val="32"/>
          <w:szCs w:val="32"/>
        </w:rPr>
      </w:pPr>
      <w:r>
        <w:rPr>
          <w:rFonts w:ascii="黑体" w:eastAsia="黑体" w:hAnsi="黑体" w:hint="eastAsia"/>
          <w:sz w:val="32"/>
          <w:szCs w:val="32"/>
        </w:rPr>
        <w:t>附注</w:t>
      </w:r>
    </w:p>
    <w:p w:rsidR="00F504E1" w:rsidRDefault="00F504E1" w:rsidP="00F504E1">
      <w:pPr>
        <w:spacing w:line="520" w:lineRule="exact"/>
        <w:jc w:val="center"/>
        <w:rPr>
          <w:rFonts w:ascii="宋体" w:hAnsi="宋体"/>
          <w:b/>
          <w:sz w:val="44"/>
          <w:szCs w:val="44"/>
        </w:rPr>
      </w:pPr>
      <w:r>
        <w:rPr>
          <w:rFonts w:ascii="宋体" w:hAnsi="宋体" w:hint="eastAsia"/>
          <w:b/>
          <w:sz w:val="44"/>
          <w:szCs w:val="44"/>
        </w:rPr>
        <w:t>京津冀区域发展指数及测算方法</w:t>
      </w:r>
    </w:p>
    <w:p w:rsidR="00F504E1" w:rsidRDefault="00F504E1" w:rsidP="00F504E1">
      <w:pPr>
        <w:rPr>
          <w:rFonts w:ascii="仿宋_GB2312" w:eastAsia="仿宋_GB2312" w:cs="仿宋_GB2312"/>
        </w:rPr>
      </w:pPr>
    </w:p>
    <w:p w:rsidR="00F504E1" w:rsidRDefault="00F504E1" w:rsidP="00F504E1">
      <w:pPr>
        <w:spacing w:line="560" w:lineRule="exact"/>
        <w:rPr>
          <w:rFonts w:ascii="仿宋_GB2312" w:eastAsia="仿宋_GB2312"/>
          <w:sz w:val="32"/>
          <w:szCs w:val="32"/>
        </w:rPr>
      </w:pPr>
      <w:r>
        <w:rPr>
          <w:rFonts w:ascii="仿宋_GB2312" w:eastAsia="仿宋_GB2312" w:hAnsi="仿宋" w:hint="eastAsia"/>
          <w:sz w:val="32"/>
          <w:szCs w:val="32"/>
        </w:rPr>
        <w:t xml:space="preserve">    2015年4月30日，《京津冀协同发展规划纲要》经中共中央政治局审议通过，这是实现京津冀区域优势互补、互利共赢、区域一体，打造中国经济第三增长极和世界级城市群的重要举措。</w:t>
      </w:r>
      <w:r>
        <w:rPr>
          <w:rFonts w:ascii="仿宋_GB2312" w:eastAsia="仿宋_GB2312" w:cs="仿宋_GB2312" w:hint="eastAsia"/>
          <w:sz w:val="32"/>
          <w:szCs w:val="32"/>
        </w:rPr>
        <w:t>为监测京津冀区域发展变化，服务国家战略，国家统计局、北京市统计局和中国社会科学院京津冀协同发展智库于2016年联合开展了京津冀区域发展指数课题研究。在天津、河北统计部门的积极配合下，经过持续研究和修改完善，</w:t>
      </w:r>
      <w:r>
        <w:rPr>
          <w:rFonts w:ascii="仿宋_GB2312" w:eastAsia="仿宋_GB2312" w:hint="eastAsia"/>
          <w:sz w:val="32"/>
          <w:szCs w:val="32"/>
        </w:rPr>
        <w:t xml:space="preserve">构建了基于创新、协调、绿色、开放、共享五大发展理念的区域发展指数评价指标体系，并进行了指数测算，对区域发展情况进行监测评价。 </w:t>
      </w:r>
    </w:p>
    <w:p w:rsidR="00F504E1" w:rsidRPr="0056331B" w:rsidRDefault="00F504E1" w:rsidP="00F504E1">
      <w:pPr>
        <w:spacing w:line="560" w:lineRule="exact"/>
        <w:jc w:val="left"/>
        <w:rPr>
          <w:rFonts w:ascii="黑体" w:eastAsia="黑体" w:hAnsi="黑体"/>
          <w:sz w:val="32"/>
          <w:szCs w:val="32"/>
        </w:rPr>
      </w:pPr>
      <w:r>
        <w:rPr>
          <w:rFonts w:ascii="仿宋_GB2312" w:eastAsia="仿宋_GB2312" w:hAnsi="黑体" w:hint="eastAsia"/>
          <w:sz w:val="32"/>
          <w:szCs w:val="32"/>
        </w:rPr>
        <w:t xml:space="preserve">   </w:t>
      </w:r>
      <w:r w:rsidRPr="0056331B">
        <w:rPr>
          <w:rFonts w:ascii="黑体" w:eastAsia="黑体" w:hAnsi="黑体" w:hint="eastAsia"/>
          <w:sz w:val="32"/>
          <w:szCs w:val="32"/>
        </w:rPr>
        <w:t xml:space="preserve"> 一、京津冀区域发展指数评价指标体系的构建</w:t>
      </w:r>
    </w:p>
    <w:p w:rsidR="00F504E1" w:rsidRDefault="00F504E1" w:rsidP="00F504E1">
      <w:pPr>
        <w:spacing w:line="560" w:lineRule="exact"/>
        <w:ind w:firstLineChars="200" w:firstLine="640"/>
        <w:rPr>
          <w:rFonts w:ascii="仿宋_GB2312" w:eastAsia="仿宋_GB2312"/>
          <w:sz w:val="32"/>
          <w:szCs w:val="32"/>
        </w:rPr>
      </w:pPr>
      <w:r>
        <w:rPr>
          <w:rFonts w:ascii="仿宋_GB2312" w:eastAsia="仿宋_GB2312" w:hint="eastAsia"/>
          <w:sz w:val="32"/>
          <w:szCs w:val="32"/>
        </w:rPr>
        <w:t>京津冀区域发展指数评价指标体系围绕创新、协调、绿色、开放、共享五大发展理念构建，包括5个一级指标、18个二级指标和48个三级指标。</w:t>
      </w:r>
    </w:p>
    <w:p w:rsidR="00F504E1" w:rsidRDefault="00F504E1" w:rsidP="00F504E1">
      <w:pPr>
        <w:spacing w:beforeLines="50" w:line="360" w:lineRule="auto"/>
        <w:jc w:val="center"/>
        <w:rPr>
          <w:rFonts w:ascii="宋体" w:hAnsi="宋体"/>
          <w:b/>
          <w:bCs/>
          <w:color w:val="000000"/>
          <w:sz w:val="28"/>
          <w:szCs w:val="28"/>
        </w:rPr>
      </w:pPr>
      <w:r>
        <w:rPr>
          <w:rFonts w:ascii="宋体" w:hAnsi="宋体" w:hint="eastAsia"/>
          <w:b/>
          <w:bCs/>
          <w:color w:val="000000"/>
          <w:sz w:val="28"/>
          <w:szCs w:val="28"/>
        </w:rPr>
        <w:t>京津冀区域发展指数的评价指标体系</w:t>
      </w:r>
    </w:p>
    <w:tbl>
      <w:tblPr>
        <w:tblW w:w="8500" w:type="dxa"/>
        <w:jc w:val="center"/>
        <w:tblBorders>
          <w:top w:val="single" w:sz="4" w:space="0" w:color="auto"/>
          <w:bottom w:val="single" w:sz="4" w:space="0" w:color="auto"/>
          <w:insideH w:val="single" w:sz="4" w:space="0" w:color="auto"/>
          <w:insideV w:val="single" w:sz="4" w:space="0" w:color="auto"/>
        </w:tblBorders>
        <w:tblLayout w:type="fixed"/>
        <w:tblLook w:val="04A0"/>
      </w:tblPr>
      <w:tblGrid>
        <w:gridCol w:w="1141"/>
        <w:gridCol w:w="1276"/>
        <w:gridCol w:w="4949"/>
        <w:gridCol w:w="1134"/>
      </w:tblGrid>
      <w:tr w:rsidR="00F504E1" w:rsidTr="00900246">
        <w:trPr>
          <w:trHeight w:val="144"/>
          <w:jc w:val="center"/>
        </w:trPr>
        <w:tc>
          <w:tcPr>
            <w:tcW w:w="1141" w:type="dxa"/>
            <w:tcBorders>
              <w:top w:val="single" w:sz="4" w:space="0" w:color="auto"/>
              <w:left w:val="nil"/>
              <w:bottom w:val="single" w:sz="4" w:space="0" w:color="auto"/>
              <w:right w:val="single" w:sz="4" w:space="0" w:color="auto"/>
            </w:tcBorders>
            <w:vAlign w:val="center"/>
          </w:tcPr>
          <w:p w:rsidR="00F504E1" w:rsidRDefault="00F504E1" w:rsidP="00900246">
            <w:pPr>
              <w:jc w:val="center"/>
              <w:rPr>
                <w:b/>
                <w:bCs/>
                <w:color w:val="000000"/>
              </w:rPr>
            </w:pPr>
            <w:r>
              <w:rPr>
                <w:rFonts w:hint="eastAsia"/>
                <w:b/>
                <w:bCs/>
                <w:color w:val="000000"/>
              </w:rPr>
              <w:t>一级指标</w:t>
            </w:r>
          </w:p>
        </w:tc>
        <w:tc>
          <w:tcPr>
            <w:tcW w:w="1276"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bCs/>
                <w:color w:val="000000"/>
              </w:rPr>
            </w:pPr>
            <w:r>
              <w:rPr>
                <w:rFonts w:hint="eastAsia"/>
                <w:b/>
                <w:bCs/>
                <w:color w:val="000000"/>
              </w:rPr>
              <w:t>二级指标</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bCs/>
                <w:color w:val="000000"/>
              </w:rPr>
            </w:pPr>
            <w:r>
              <w:rPr>
                <w:rFonts w:hint="eastAsia"/>
                <w:b/>
                <w:bCs/>
                <w:color w:val="000000"/>
              </w:rPr>
              <w:t>三级指标</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b/>
                <w:bCs/>
                <w:color w:val="000000"/>
              </w:rPr>
            </w:pPr>
            <w:r>
              <w:rPr>
                <w:rFonts w:hint="eastAsia"/>
                <w:b/>
                <w:bCs/>
                <w:color w:val="000000"/>
              </w:rPr>
              <w:t>权重</w:t>
            </w:r>
          </w:p>
        </w:tc>
      </w:tr>
      <w:tr w:rsidR="00F504E1" w:rsidTr="00900246">
        <w:trPr>
          <w:trHeight w:val="144"/>
          <w:jc w:val="center"/>
        </w:trPr>
        <w:tc>
          <w:tcPr>
            <w:tcW w:w="1141" w:type="dxa"/>
            <w:vMerge w:val="restart"/>
            <w:tcBorders>
              <w:top w:val="single" w:sz="4" w:space="0" w:color="auto"/>
              <w:left w:val="nil"/>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创新发展</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创新投入</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每万常住人口专业技术人员数</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研究与试验发展（</w:t>
            </w:r>
            <w:r>
              <w:rPr>
                <w:color w:val="000000"/>
              </w:rPr>
              <w:t>R&amp;D</w:t>
            </w:r>
            <w:r>
              <w:rPr>
                <w:rFonts w:hint="eastAsia"/>
                <w:color w:val="000000"/>
              </w:rPr>
              <w:t>）经费支出相当于</w:t>
            </w:r>
          </w:p>
          <w:p w:rsidR="00F504E1" w:rsidRDefault="00F504E1" w:rsidP="00900246">
            <w:pPr>
              <w:jc w:val="center"/>
              <w:rPr>
                <w:color w:val="000000"/>
              </w:rPr>
            </w:pPr>
            <w:r>
              <w:rPr>
                <w:rFonts w:hint="eastAsia"/>
                <w:color w:val="000000"/>
              </w:rPr>
              <w:t>地区生产总值的比例</w:t>
            </w:r>
          </w:p>
        </w:tc>
        <w:tc>
          <w:tcPr>
            <w:tcW w:w="1134"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color w:val="000000"/>
              </w:rPr>
              <w:t>3</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科学技术支出占一般公共预算支出比重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创新产出</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每万常住人口发明专利拥有量</w:t>
            </w:r>
          </w:p>
        </w:tc>
        <w:tc>
          <w:tcPr>
            <w:tcW w:w="1134"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color w:val="000000"/>
              </w:rPr>
              <w:t>2.5</w:t>
            </w:r>
          </w:p>
        </w:tc>
      </w:tr>
      <w:tr w:rsidR="00F504E1" w:rsidTr="00900246">
        <w:trPr>
          <w:trHeight w:val="42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技术市场成交额占全国的比重</w:t>
            </w:r>
          </w:p>
        </w:tc>
        <w:tc>
          <w:tcPr>
            <w:tcW w:w="1134"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color w:val="000000"/>
              </w:rPr>
              <w:t>2.5</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高技术产业新产品销售收入占新产品销售收入比重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创新效率</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每亿元研发投入经费的专利授权量</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劳动生产率</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144"/>
          <w:jc w:val="center"/>
        </w:trPr>
        <w:tc>
          <w:tcPr>
            <w:tcW w:w="1141" w:type="dxa"/>
            <w:vMerge w:val="restart"/>
            <w:tcBorders>
              <w:top w:val="single" w:sz="4" w:space="0" w:color="auto"/>
              <w:left w:val="nil"/>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协调发展</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区域协调</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省（市）级人均</w:t>
            </w:r>
            <w:r>
              <w:rPr>
                <w:color w:val="000000"/>
              </w:rPr>
              <w:t>GDP</w:t>
            </w:r>
            <w:r>
              <w:rPr>
                <w:rFonts w:hint="eastAsia"/>
                <w:color w:val="000000"/>
              </w:rPr>
              <w:t>差距</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rFonts w:hint="eastAsia"/>
                <w:color w:val="000000"/>
              </w:rPr>
              <w:t>3</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县（市、区）人均</w:t>
            </w:r>
            <w:r>
              <w:rPr>
                <w:color w:val="000000"/>
              </w:rPr>
              <w:t>GDP</w:t>
            </w:r>
            <w:r>
              <w:rPr>
                <w:rFonts w:hint="eastAsia"/>
                <w:color w:val="000000"/>
              </w:rPr>
              <w:t>差距</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省（市）级人均一般公共预算支出差距</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2.5</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城乡协调</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城乡居民人均可支配收入差距</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城镇化率</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2.5</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精神文明物质文明协调</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文体娱乐业固定资产投资与地区生产总值之比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居民文教娱乐服务支出占居民家庭消费支出比重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互联网普及率</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316"/>
          <w:jc w:val="center"/>
        </w:trPr>
        <w:tc>
          <w:tcPr>
            <w:tcW w:w="1141" w:type="dxa"/>
            <w:vMerge w:val="restart"/>
            <w:tcBorders>
              <w:top w:val="single" w:sz="4" w:space="0" w:color="auto"/>
              <w:left w:val="nil"/>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绿色发展</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节能减排</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单位</w:t>
            </w:r>
            <w:r>
              <w:rPr>
                <w:color w:val="000000"/>
              </w:rPr>
              <w:t>GDP</w:t>
            </w:r>
            <w:r>
              <w:rPr>
                <w:rFonts w:hint="eastAsia"/>
                <w:color w:val="000000"/>
              </w:rPr>
              <w:t>能耗</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单位工业增加值用水量</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单位</w:t>
            </w:r>
            <w:r>
              <w:rPr>
                <w:color w:val="000000"/>
              </w:rPr>
              <w:t>GDP</w:t>
            </w:r>
            <w:r>
              <w:rPr>
                <w:rFonts w:hint="eastAsia"/>
                <w:color w:val="000000"/>
              </w:rPr>
              <w:t>二氧化硫排放量</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空气质量</w:t>
            </w:r>
          </w:p>
        </w:tc>
        <w:tc>
          <w:tcPr>
            <w:tcW w:w="4949" w:type="dxa"/>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color w:val="000000"/>
              </w:rPr>
            </w:pPr>
            <w:r>
              <w:rPr>
                <w:rFonts w:hint="eastAsia"/>
                <w:color w:val="000000"/>
              </w:rPr>
              <w:t>全年空气质量二级以上天数比重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1.5</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color w:val="000000"/>
              </w:rPr>
              <w:t>PM</w:t>
            </w:r>
            <w:r>
              <w:rPr>
                <w:color w:val="000000"/>
                <w:vertAlign w:val="subscript"/>
              </w:rPr>
              <w:t>2.5</w:t>
            </w:r>
            <w:r>
              <w:rPr>
                <w:rFonts w:hint="eastAsia"/>
                <w:color w:val="000000"/>
              </w:rPr>
              <w:t>平均浓度</w:t>
            </w:r>
            <w:r>
              <w:rPr>
                <w:rStyle w:val="a6"/>
                <w:color w:val="000000"/>
              </w:rPr>
              <w:footnoteReference w:id="2"/>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2.5</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绿色投资</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节能环保支出占一般公共预算支出比重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406"/>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环境污染治理投资占地区生产总值的比重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生态建设</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人均城市绿地面积</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湿地面积占辖区面积比重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人均水资源量</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地表水劣Ｖ类比例</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284"/>
          <w:jc w:val="center"/>
        </w:trPr>
        <w:tc>
          <w:tcPr>
            <w:tcW w:w="1141" w:type="dxa"/>
            <w:vMerge w:val="restart"/>
            <w:tcBorders>
              <w:top w:val="single" w:sz="4" w:space="0" w:color="auto"/>
              <w:left w:val="nil"/>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开放发展</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利用外资</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实际利用外资额与地区生产总值之比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新注册外资企业数占新注册企业总数比重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对外投资</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对外直接投资与地区生产总值之比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291"/>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对外承包工程完成营业额与地区生产总值之比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贸易开放</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货物和服务贸易进出口总额与地区生产总值之比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高技术产品出口额占出口额比重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人员往来</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对外劳务合作派出劳务人数与常住人口之比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入境旅游人数与国内外游客接待量之比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316"/>
          <w:jc w:val="center"/>
        </w:trPr>
        <w:tc>
          <w:tcPr>
            <w:tcW w:w="1141" w:type="dxa"/>
            <w:vMerge w:val="restart"/>
            <w:tcBorders>
              <w:top w:val="single" w:sz="4" w:space="0" w:color="auto"/>
              <w:left w:val="nil"/>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共享发展</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基本公共</w:t>
            </w:r>
          </w:p>
          <w:p w:rsidR="00F504E1" w:rsidRDefault="00F504E1" w:rsidP="00900246">
            <w:pPr>
              <w:jc w:val="center"/>
              <w:rPr>
                <w:b/>
                <w:color w:val="000000"/>
              </w:rPr>
            </w:pPr>
            <w:r>
              <w:rPr>
                <w:rFonts w:hint="eastAsia"/>
                <w:b/>
                <w:color w:val="000000"/>
              </w:rPr>
              <w:t>服务共享</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人均一般公共服务支出</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1.5</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城乡基本养老保险覆盖面</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每千常住人口卫生技术人员数</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生均公共财政预算教育经费</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接受就业指导与登记求职人数之比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0.5</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基础设施</w:t>
            </w:r>
          </w:p>
          <w:p w:rsidR="00F504E1" w:rsidRDefault="00F504E1" w:rsidP="00900246">
            <w:pPr>
              <w:jc w:val="center"/>
              <w:rPr>
                <w:b/>
                <w:color w:val="000000"/>
              </w:rPr>
            </w:pPr>
            <w:r>
              <w:rPr>
                <w:rFonts w:hint="eastAsia"/>
                <w:b/>
                <w:color w:val="000000"/>
              </w:rPr>
              <w:t>共享</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基础设施投资占固定资产投资比重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3</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高速公路里程密度</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铁路里程密度</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2"/>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教育公平</w:t>
            </w:r>
            <w:r>
              <w:rPr>
                <w:color w:val="000000"/>
                <w:vertAlign w:val="superscript"/>
              </w:rPr>
              <w:footnoteReference w:id="3"/>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rPr>
              <w:t>本科录取率的地区差距</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大专及以上学历人数占</w:t>
            </w:r>
            <w:r>
              <w:rPr>
                <w:color w:val="000000"/>
              </w:rPr>
              <w:t>6</w:t>
            </w:r>
            <w:r>
              <w:rPr>
                <w:rFonts w:hint="eastAsia"/>
                <w:color w:val="000000"/>
              </w:rPr>
              <w:t>岁及以上常住人口比重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w:t>
            </w:r>
          </w:p>
        </w:tc>
      </w:tr>
      <w:tr w:rsidR="00F504E1" w:rsidTr="00900246">
        <w:trPr>
          <w:trHeight w:val="90"/>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中、小学专任教师与在校生之比</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1</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504E1" w:rsidRDefault="00F504E1" w:rsidP="00900246">
            <w:pPr>
              <w:jc w:val="center"/>
              <w:rPr>
                <w:b/>
                <w:color w:val="000000"/>
              </w:rPr>
            </w:pPr>
            <w:r>
              <w:rPr>
                <w:rFonts w:hint="eastAsia"/>
                <w:b/>
                <w:color w:val="000000"/>
              </w:rPr>
              <w:t>脱贫攻坚</w:t>
            </w: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最低生活保障人数占常住人口比重</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2.5</w:t>
            </w:r>
          </w:p>
        </w:tc>
      </w:tr>
      <w:tr w:rsidR="00F504E1" w:rsidTr="00900246">
        <w:trPr>
          <w:trHeight w:val="144"/>
          <w:jc w:val="center"/>
        </w:trPr>
        <w:tc>
          <w:tcPr>
            <w:tcW w:w="1141" w:type="dxa"/>
            <w:vMerge/>
            <w:tcBorders>
              <w:top w:val="single" w:sz="4" w:space="0" w:color="auto"/>
              <w:left w:val="nil"/>
              <w:bottom w:val="single" w:sz="4" w:space="0" w:color="auto"/>
              <w:right w:val="single" w:sz="4" w:space="0" w:color="auto"/>
            </w:tcBorders>
            <w:vAlign w:val="center"/>
          </w:tcPr>
          <w:p w:rsidR="00F504E1" w:rsidRDefault="00F504E1" w:rsidP="00900246">
            <w:pPr>
              <w:widowControl/>
              <w:jc w:val="left"/>
              <w:rPr>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F504E1" w:rsidRDefault="00F504E1" w:rsidP="00900246">
            <w:pPr>
              <w:widowControl/>
              <w:jc w:val="left"/>
              <w:rPr>
                <w:b/>
                <w:color w:val="000000"/>
              </w:rPr>
            </w:pPr>
          </w:p>
        </w:tc>
        <w:tc>
          <w:tcPr>
            <w:tcW w:w="4949" w:type="dxa"/>
            <w:tcBorders>
              <w:top w:val="single" w:sz="4" w:space="0" w:color="auto"/>
              <w:left w:val="single" w:sz="4" w:space="0" w:color="auto"/>
              <w:bottom w:val="single" w:sz="4" w:space="0" w:color="auto"/>
              <w:right w:val="nil"/>
            </w:tcBorders>
            <w:vAlign w:val="center"/>
          </w:tcPr>
          <w:p w:rsidR="00F504E1" w:rsidRDefault="00F504E1" w:rsidP="00900246">
            <w:pPr>
              <w:jc w:val="center"/>
              <w:rPr>
                <w:color w:val="000000"/>
              </w:rPr>
            </w:pPr>
            <w:r>
              <w:rPr>
                <w:rFonts w:hint="eastAsia"/>
                <w:color w:val="000000"/>
              </w:rPr>
              <w:t>贫困发生率</w:t>
            </w:r>
          </w:p>
        </w:tc>
        <w:tc>
          <w:tcPr>
            <w:tcW w:w="1134" w:type="dxa"/>
            <w:tcBorders>
              <w:top w:val="single" w:sz="4" w:space="0" w:color="auto"/>
              <w:left w:val="single" w:sz="4" w:space="0" w:color="auto"/>
              <w:bottom w:val="single" w:sz="4" w:space="0" w:color="auto"/>
              <w:right w:val="nil"/>
            </w:tcBorders>
          </w:tcPr>
          <w:p w:rsidR="00F504E1" w:rsidRDefault="00F504E1" w:rsidP="00900246">
            <w:pPr>
              <w:jc w:val="center"/>
              <w:rPr>
                <w:color w:val="000000"/>
              </w:rPr>
            </w:pPr>
            <w:r>
              <w:rPr>
                <w:color w:val="000000"/>
              </w:rPr>
              <w:t>2.5</w:t>
            </w:r>
          </w:p>
        </w:tc>
      </w:tr>
    </w:tbl>
    <w:p w:rsidR="00F504E1" w:rsidRDefault="00F504E1" w:rsidP="00F504E1">
      <w:pPr>
        <w:spacing w:line="520" w:lineRule="exact"/>
        <w:jc w:val="left"/>
        <w:rPr>
          <w:rFonts w:ascii="仿宋_GB2312" w:eastAsia="仿宋_GB2312" w:hAnsi="黑体"/>
          <w:sz w:val="32"/>
          <w:szCs w:val="32"/>
        </w:rPr>
      </w:pPr>
      <w:r>
        <w:rPr>
          <w:rFonts w:ascii="仿宋_GB2312" w:eastAsia="仿宋_GB2312" w:hAnsi="黑体" w:hint="eastAsia"/>
          <w:sz w:val="32"/>
          <w:szCs w:val="32"/>
        </w:rPr>
        <w:t xml:space="preserve">       </w:t>
      </w:r>
    </w:p>
    <w:p w:rsidR="00F504E1" w:rsidRPr="0056331B" w:rsidRDefault="00F504E1" w:rsidP="00F504E1">
      <w:pPr>
        <w:spacing w:line="520" w:lineRule="exact"/>
        <w:jc w:val="left"/>
        <w:rPr>
          <w:rFonts w:ascii="黑体" w:eastAsia="黑体" w:hAnsi="黑体"/>
          <w:sz w:val="32"/>
          <w:szCs w:val="32"/>
        </w:rPr>
      </w:pPr>
      <w:r>
        <w:rPr>
          <w:rFonts w:ascii="仿宋_GB2312" w:eastAsia="仿宋_GB2312" w:hAnsi="黑体" w:hint="eastAsia"/>
          <w:sz w:val="32"/>
          <w:szCs w:val="32"/>
        </w:rPr>
        <w:lastRenderedPageBreak/>
        <w:t xml:space="preserve">    </w:t>
      </w:r>
      <w:r w:rsidRPr="0056331B">
        <w:rPr>
          <w:rFonts w:ascii="黑体" w:eastAsia="黑体" w:hAnsi="黑体" w:hint="eastAsia"/>
          <w:sz w:val="32"/>
          <w:szCs w:val="32"/>
        </w:rPr>
        <w:t>二、京津冀区域发展指数测算方法</w:t>
      </w:r>
    </w:p>
    <w:p w:rsidR="00F504E1" w:rsidRDefault="00F504E1" w:rsidP="00F504E1">
      <w:pPr>
        <w:spacing w:line="520" w:lineRule="exact"/>
        <w:ind w:firstLineChars="200" w:firstLine="640"/>
        <w:rPr>
          <w:rFonts w:ascii="仿宋_GB2312" w:eastAsia="仿宋_GB2312"/>
          <w:sz w:val="32"/>
          <w:szCs w:val="32"/>
        </w:rPr>
      </w:pPr>
      <w:r>
        <w:rPr>
          <w:rFonts w:ascii="仿宋_GB2312" w:eastAsia="仿宋_GB2312" w:hint="eastAsia"/>
          <w:sz w:val="32"/>
          <w:szCs w:val="32"/>
        </w:rPr>
        <w:t>在使用该指标体系测算指数时，一是以2010年作为基期并设指数值为100，然后通过时序变化，观察创新、协调、绿色、开放和共享5个分领域指标值和区域发展综合指标值的变动趋势。二是分别计算创新发展、协调发展、绿色发展、开放发展和共享发展5个分指数，然后合成为京津冀区域发展总指数。</w:t>
      </w:r>
    </w:p>
    <w:p w:rsidR="00F504E1" w:rsidRDefault="00F504E1" w:rsidP="00F504E1">
      <w:pPr>
        <w:spacing w:line="520" w:lineRule="exact"/>
        <w:ind w:firstLineChars="200" w:firstLine="640"/>
        <w:rPr>
          <w:rFonts w:ascii="仿宋_GB2312" w:eastAsia="仿宋_GB2312"/>
          <w:sz w:val="32"/>
          <w:szCs w:val="32"/>
        </w:rPr>
      </w:pPr>
      <w:r>
        <w:rPr>
          <w:rFonts w:ascii="仿宋_GB2312" w:eastAsia="仿宋_GB2312" w:hint="eastAsia"/>
          <w:sz w:val="32"/>
          <w:szCs w:val="32"/>
        </w:rPr>
        <w:t>1.权重确定</w:t>
      </w:r>
    </w:p>
    <w:p w:rsidR="00F504E1" w:rsidRDefault="00F504E1" w:rsidP="00F504E1">
      <w:pPr>
        <w:spacing w:line="520" w:lineRule="exact"/>
        <w:ind w:firstLineChars="200" w:firstLine="640"/>
        <w:rPr>
          <w:rFonts w:ascii="仿宋_GB2312" w:eastAsia="仿宋_GB2312"/>
          <w:sz w:val="32"/>
          <w:szCs w:val="32"/>
        </w:rPr>
      </w:pPr>
      <w:r>
        <w:rPr>
          <w:rFonts w:ascii="仿宋_GB2312" w:eastAsia="仿宋_GB2312" w:hint="eastAsia"/>
          <w:sz w:val="32"/>
          <w:szCs w:val="32"/>
        </w:rPr>
        <w:t>一是对指标体系中的一级指标采取了均等权重的形式，每个一级指标为20分。</w:t>
      </w:r>
    </w:p>
    <w:p w:rsidR="00F504E1" w:rsidRDefault="00F504E1" w:rsidP="00F504E1">
      <w:pPr>
        <w:spacing w:line="520" w:lineRule="exact"/>
        <w:ind w:firstLineChars="200" w:firstLine="640"/>
        <w:rPr>
          <w:rFonts w:ascii="仿宋_GB2312" w:eastAsia="仿宋_GB2312"/>
          <w:sz w:val="32"/>
          <w:szCs w:val="32"/>
        </w:rPr>
      </w:pPr>
      <w:r>
        <w:rPr>
          <w:rFonts w:ascii="仿宋_GB2312" w:eastAsia="仿宋_GB2312" w:hint="eastAsia"/>
          <w:sz w:val="32"/>
          <w:szCs w:val="32"/>
        </w:rPr>
        <w:t>二是对三级指标采用专家打分的形式赋予权重。课题组邀请区域发展、对外贸易、环境经济、公共服务等相关领域专家共计10人，每位专家分别对三级指标独立进行权重打分，再由课题组综合分析评估，最后设定三级指标的权重。</w:t>
      </w: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2.标准化处理</w:t>
      </w: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为保证各指标层的可加性，首先对各指标值进行标准化处理。以指标的2010年取值为基准1，根据正向指标和逆向指标的差异，对各指标进行标准化处理。处理方法如下：y</w:t>
      </w:r>
      <w:r>
        <w:rPr>
          <w:rFonts w:ascii="仿宋_GB2312" w:eastAsia="仿宋_GB2312" w:hint="eastAsia"/>
          <w:sz w:val="32"/>
          <w:szCs w:val="32"/>
          <w:vertAlign w:val="subscript"/>
        </w:rPr>
        <w:t>t</w:t>
      </w:r>
      <w:r>
        <w:rPr>
          <w:rFonts w:ascii="仿宋_GB2312" w:eastAsia="仿宋_GB2312" w:hint="eastAsia"/>
          <w:sz w:val="32"/>
          <w:szCs w:val="32"/>
        </w:rPr>
        <w:t>为某指标的测算值，y</w:t>
      </w:r>
      <w:r>
        <w:rPr>
          <w:rFonts w:ascii="仿宋_GB2312" w:eastAsia="仿宋_GB2312" w:hint="eastAsia"/>
          <w:sz w:val="32"/>
          <w:szCs w:val="32"/>
          <w:vertAlign w:val="subscript"/>
        </w:rPr>
        <w:t>2010</w:t>
      </w:r>
      <w:r>
        <w:rPr>
          <w:rFonts w:ascii="仿宋_GB2312" w:eastAsia="仿宋_GB2312" w:hint="eastAsia"/>
          <w:sz w:val="32"/>
          <w:szCs w:val="32"/>
        </w:rPr>
        <w:t>为某指标2010年的测算值，p</w:t>
      </w:r>
      <w:r>
        <w:rPr>
          <w:rFonts w:ascii="仿宋_GB2312" w:eastAsia="仿宋_GB2312" w:hint="eastAsia"/>
          <w:sz w:val="32"/>
          <w:szCs w:val="32"/>
          <w:vertAlign w:val="subscript"/>
        </w:rPr>
        <w:t>t</w:t>
      </w:r>
      <w:r>
        <w:rPr>
          <w:rFonts w:ascii="仿宋_GB2312" w:eastAsia="仿宋_GB2312" w:hint="eastAsia"/>
          <w:sz w:val="32"/>
          <w:szCs w:val="32"/>
        </w:rPr>
        <w:t>为标准化后的指标值，其中，t=2010, … , 2018。</w:t>
      </w:r>
    </w:p>
    <w:p w:rsidR="00F504E1" w:rsidRDefault="00F504E1" w:rsidP="00F504E1">
      <w:pPr>
        <w:spacing w:line="540" w:lineRule="exact"/>
        <w:ind w:firstLine="480"/>
        <w:rPr>
          <w:rFonts w:ascii="仿宋_GB2312" w:eastAsia="仿宋_GB2312"/>
          <w:sz w:val="32"/>
          <w:szCs w:val="32"/>
        </w:rPr>
      </w:pPr>
      <w:r>
        <w:rPr>
          <w:rFonts w:ascii="仿宋_GB2312" w:eastAsia="仿宋_GB2312" w:hint="eastAsia"/>
          <w:sz w:val="32"/>
          <w:szCs w:val="32"/>
        </w:rPr>
        <w:t>正向指标标准化处理：</w:t>
      </w:r>
    </w:p>
    <w:p w:rsidR="00F504E1" w:rsidRDefault="00F504E1" w:rsidP="00F504E1">
      <w:pPr>
        <w:spacing w:line="240" w:lineRule="atLeast"/>
        <w:ind w:firstLine="482"/>
        <w:jc w:val="center"/>
        <w:rPr>
          <w:rFonts w:ascii="仿宋_GB2312" w:eastAsia="仿宋_GB2312"/>
          <w:sz w:val="32"/>
          <w:szCs w:val="32"/>
        </w:rPr>
      </w:pPr>
      <w:r>
        <w:rPr>
          <w:rFonts w:ascii="仿宋_GB2312" w:eastAsia="仿宋_GB2312"/>
          <w:noProof/>
          <w:sz w:val="32"/>
          <w:szCs w:val="32"/>
        </w:rPr>
        <w:drawing>
          <wp:inline distT="0" distB="0" distL="0" distR="0">
            <wp:extent cx="704850" cy="400050"/>
            <wp:effectExtent l="19050" t="0" r="0" b="0"/>
            <wp:docPr id="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704850" cy="400050"/>
                    </a:xfrm>
                    <a:prstGeom prst="rect">
                      <a:avLst/>
                    </a:prstGeom>
                    <a:noFill/>
                    <a:ln w="9525">
                      <a:noFill/>
                      <a:miter lim="800000"/>
                      <a:headEnd/>
                      <a:tailEnd/>
                    </a:ln>
                  </pic:spPr>
                </pic:pic>
              </a:graphicData>
            </a:graphic>
          </wp:inline>
        </w:drawing>
      </w:r>
    </w:p>
    <w:p w:rsidR="00F504E1" w:rsidRDefault="00F504E1" w:rsidP="00F504E1">
      <w:pPr>
        <w:spacing w:line="540" w:lineRule="exact"/>
        <w:ind w:firstLine="480"/>
        <w:rPr>
          <w:rFonts w:ascii="仿宋_GB2312" w:eastAsia="仿宋_GB2312"/>
          <w:sz w:val="32"/>
          <w:szCs w:val="32"/>
        </w:rPr>
      </w:pPr>
      <w:r>
        <w:rPr>
          <w:rFonts w:ascii="仿宋_GB2312" w:eastAsia="仿宋_GB2312" w:hint="eastAsia"/>
          <w:sz w:val="32"/>
          <w:szCs w:val="32"/>
        </w:rPr>
        <w:t>逆向指标标准化处理：</w:t>
      </w:r>
    </w:p>
    <w:p w:rsidR="00F504E1" w:rsidRDefault="00F504E1" w:rsidP="00F504E1">
      <w:pPr>
        <w:spacing w:line="240" w:lineRule="atLeast"/>
        <w:ind w:firstLine="482"/>
        <w:jc w:val="center"/>
        <w:rPr>
          <w:rFonts w:ascii="仿宋_GB2312" w:eastAsia="仿宋_GB2312"/>
          <w:sz w:val="32"/>
          <w:szCs w:val="32"/>
        </w:rPr>
      </w:pPr>
      <w:r>
        <w:rPr>
          <w:rFonts w:ascii="仿宋_GB2312" w:eastAsia="仿宋_GB2312"/>
          <w:noProof/>
          <w:sz w:val="32"/>
          <w:szCs w:val="32"/>
        </w:rPr>
        <w:drawing>
          <wp:inline distT="0" distB="0" distL="0" distR="0">
            <wp:extent cx="876300" cy="600075"/>
            <wp:effectExtent l="19050" t="0" r="0" b="0"/>
            <wp:docPr id="2"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876300" cy="600075"/>
                    </a:xfrm>
                    <a:prstGeom prst="rect">
                      <a:avLst/>
                    </a:prstGeom>
                    <a:noFill/>
                    <a:ln w="9525">
                      <a:noFill/>
                      <a:miter lim="800000"/>
                      <a:headEnd/>
                      <a:tailEnd/>
                    </a:ln>
                  </pic:spPr>
                </pic:pic>
              </a:graphicData>
            </a:graphic>
          </wp:inline>
        </w:drawing>
      </w:r>
    </w:p>
    <w:p w:rsidR="00F504E1" w:rsidRDefault="00F504E1" w:rsidP="00F504E1">
      <w:pPr>
        <w:spacing w:line="540" w:lineRule="exact"/>
        <w:ind w:firstLineChars="200" w:firstLine="640"/>
        <w:rPr>
          <w:rFonts w:ascii="仿宋_GB2312" w:eastAsia="仿宋_GB2312" w:hint="eastAsia"/>
          <w:sz w:val="32"/>
          <w:szCs w:val="32"/>
        </w:rPr>
      </w:pP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3.指数合成</w:t>
      </w: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使用指数加权法进行综合评价，得出各级指标的指数值。</w:t>
      </w: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指数加权分析法的基本公式为：</w:t>
      </w: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 xml:space="preserve">               综合指数S =ΣP</w:t>
      </w:r>
      <w:r>
        <w:rPr>
          <w:rFonts w:ascii="仿宋_GB2312" w:eastAsia="仿宋_GB2312" w:hint="eastAsia"/>
          <w:sz w:val="32"/>
          <w:szCs w:val="32"/>
          <w:vertAlign w:val="subscript"/>
        </w:rPr>
        <w:t>i</w:t>
      </w:r>
      <w:r>
        <w:rPr>
          <w:rFonts w:ascii="仿宋_GB2312" w:eastAsia="仿宋_GB2312" w:hint="eastAsia"/>
          <w:sz w:val="32"/>
          <w:szCs w:val="32"/>
        </w:rPr>
        <w:t xml:space="preserve"> * W</w:t>
      </w:r>
      <w:r>
        <w:rPr>
          <w:rFonts w:ascii="仿宋_GB2312" w:eastAsia="仿宋_GB2312" w:hint="eastAsia"/>
          <w:sz w:val="32"/>
          <w:szCs w:val="32"/>
          <w:vertAlign w:val="subscript"/>
        </w:rPr>
        <w:t>i</w:t>
      </w:r>
    </w:p>
    <w:p w:rsidR="00F504E1" w:rsidRDefault="00F504E1" w:rsidP="00F504E1">
      <w:pPr>
        <w:spacing w:line="540" w:lineRule="exact"/>
        <w:ind w:firstLineChars="200" w:firstLine="640"/>
        <w:rPr>
          <w:rFonts w:ascii="仿宋_GB2312" w:eastAsia="仿宋_GB2312"/>
          <w:sz w:val="32"/>
          <w:szCs w:val="32"/>
        </w:rPr>
      </w:pPr>
      <w:r>
        <w:rPr>
          <w:rFonts w:ascii="仿宋_GB2312" w:eastAsia="仿宋_GB2312" w:hint="eastAsia"/>
          <w:sz w:val="32"/>
          <w:szCs w:val="32"/>
        </w:rPr>
        <w:t>其中，P</w:t>
      </w:r>
      <w:r>
        <w:rPr>
          <w:rFonts w:ascii="仿宋_GB2312" w:eastAsia="仿宋_GB2312" w:hint="eastAsia"/>
          <w:sz w:val="32"/>
          <w:szCs w:val="32"/>
          <w:vertAlign w:val="subscript"/>
        </w:rPr>
        <w:t>i</w:t>
      </w:r>
      <w:r>
        <w:rPr>
          <w:rFonts w:ascii="仿宋_GB2312" w:eastAsia="仿宋_GB2312" w:hint="eastAsia"/>
          <w:sz w:val="32"/>
          <w:szCs w:val="32"/>
        </w:rPr>
        <w:t xml:space="preserve"> 是经过无量纲化处理后得到的测评值，该值乘以相应的权重W</w:t>
      </w:r>
      <w:r>
        <w:rPr>
          <w:rFonts w:ascii="仿宋_GB2312" w:eastAsia="仿宋_GB2312" w:hint="eastAsia"/>
          <w:sz w:val="32"/>
          <w:szCs w:val="32"/>
          <w:vertAlign w:val="subscript"/>
        </w:rPr>
        <w:t>i</w:t>
      </w:r>
      <w:r>
        <w:rPr>
          <w:rFonts w:ascii="仿宋_GB2312" w:eastAsia="仿宋_GB2312" w:hint="eastAsia"/>
          <w:sz w:val="32"/>
          <w:szCs w:val="32"/>
        </w:rPr>
        <w:t>可得到一个分指标的分值，W</w:t>
      </w:r>
      <w:r>
        <w:rPr>
          <w:rFonts w:ascii="仿宋_GB2312" w:eastAsia="仿宋_GB2312" w:hint="eastAsia"/>
          <w:sz w:val="32"/>
          <w:szCs w:val="32"/>
          <w:vertAlign w:val="subscript"/>
        </w:rPr>
        <w:t>i</w:t>
      </w:r>
      <w:r>
        <w:rPr>
          <w:rFonts w:ascii="仿宋_GB2312" w:eastAsia="仿宋_GB2312" w:hint="eastAsia"/>
          <w:sz w:val="32"/>
          <w:szCs w:val="32"/>
        </w:rPr>
        <w:t>为第i个分指标的权重值；分别计算出各项分指标的分值后再进行加总得到各级指标的综合指数。</w:t>
      </w:r>
    </w:p>
    <w:p w:rsidR="00096A1B" w:rsidRDefault="00F504E1" w:rsidP="00F504E1">
      <w:r>
        <w:rPr>
          <w:rFonts w:ascii="仿宋_GB2312" w:eastAsia="仿宋_GB2312" w:hint="eastAsia"/>
          <w:sz w:val="32"/>
          <w:szCs w:val="32"/>
        </w:rPr>
        <w:t>通过对指标标准化处理，加权求和得到二级指标、一级指标的值以及最终的总指数值。首先，以2010年为基期，对每一年的三级指标进行标准化处理，得到三级指标标准值；随后，对每一年三级指标加权求和得到二级指标值，并依此方法得到一级指标值，即创新发展、协调发展、绿色发展、开放发展和共享发展分指数值；最后，对5个分指数值加权求和得到每一年的京津冀区域发展总指数，根据指数变化情况，观察区域发展变化情况。</w:t>
      </w:r>
    </w:p>
    <w:sectPr w:rsidR="00096A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A1B" w:rsidRDefault="00096A1B" w:rsidP="00F504E1">
      <w:r>
        <w:separator/>
      </w:r>
    </w:p>
  </w:endnote>
  <w:endnote w:type="continuationSeparator" w:id="1">
    <w:p w:rsidR="00096A1B" w:rsidRDefault="00096A1B" w:rsidP="00F50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A1B" w:rsidRDefault="00096A1B" w:rsidP="00F504E1">
      <w:r>
        <w:separator/>
      </w:r>
    </w:p>
  </w:footnote>
  <w:footnote w:type="continuationSeparator" w:id="1">
    <w:p w:rsidR="00096A1B" w:rsidRDefault="00096A1B" w:rsidP="00F504E1">
      <w:r>
        <w:continuationSeparator/>
      </w:r>
    </w:p>
  </w:footnote>
  <w:footnote w:id="2">
    <w:p w:rsidR="00F504E1" w:rsidRDefault="00F504E1" w:rsidP="00F504E1">
      <w:pPr>
        <w:pStyle w:val="a5"/>
      </w:pPr>
      <w:r>
        <w:rPr>
          <w:rStyle w:val="a6"/>
        </w:rPr>
        <w:footnoteRef/>
      </w:r>
      <w:r>
        <w:rPr>
          <w:rFonts w:hint="eastAsia"/>
        </w:rPr>
        <w:t>由于</w:t>
      </w:r>
      <w:r>
        <w:t>PM</w:t>
      </w:r>
      <w:r>
        <w:rPr>
          <w:vertAlign w:val="subscript"/>
        </w:rPr>
        <w:t>2.5</w:t>
      </w:r>
      <w:r>
        <w:rPr>
          <w:rFonts w:hint="eastAsia"/>
        </w:rPr>
        <w:t>于</w:t>
      </w:r>
      <w:r>
        <w:t>2013</w:t>
      </w:r>
      <w:r>
        <w:rPr>
          <w:rFonts w:hint="eastAsia"/>
        </w:rPr>
        <w:t>年统计发布，因此</w:t>
      </w:r>
      <w:r>
        <w:rPr>
          <w:rFonts w:ascii="Times New Roman" w:hAnsi="Times New Roman"/>
          <w:color w:val="000000"/>
          <w:szCs w:val="21"/>
        </w:rPr>
        <w:t>2012</w:t>
      </w:r>
      <w:r>
        <w:rPr>
          <w:rFonts w:ascii="Times New Roman" w:hAnsi="Times New Roman" w:hint="eastAsia"/>
          <w:color w:val="000000"/>
          <w:szCs w:val="21"/>
        </w:rPr>
        <w:t>年及以前的数据为根据</w:t>
      </w:r>
      <w:r>
        <w:rPr>
          <w:rFonts w:ascii="Times New Roman" w:hAnsi="Times New Roman"/>
          <w:color w:val="000000"/>
          <w:szCs w:val="21"/>
        </w:rPr>
        <w:t>PM</w:t>
      </w:r>
      <w:r>
        <w:rPr>
          <w:rFonts w:ascii="Times New Roman" w:hAnsi="Times New Roman"/>
          <w:color w:val="000000"/>
          <w:szCs w:val="21"/>
          <w:vertAlign w:val="subscript"/>
        </w:rPr>
        <w:t>10</w:t>
      </w:r>
      <w:r>
        <w:rPr>
          <w:rFonts w:ascii="Times New Roman" w:hAnsi="Times New Roman" w:hint="eastAsia"/>
          <w:color w:val="000000"/>
          <w:szCs w:val="21"/>
        </w:rPr>
        <w:t>数据变化趋势进行推算。</w:t>
      </w:r>
    </w:p>
  </w:footnote>
  <w:footnote w:id="3">
    <w:p w:rsidR="00F504E1" w:rsidRDefault="00F504E1" w:rsidP="00F504E1">
      <w:pPr>
        <w:pStyle w:val="a5"/>
      </w:pPr>
      <w:r>
        <w:rPr>
          <w:rStyle w:val="a6"/>
        </w:rPr>
        <w:footnoteRef/>
      </w:r>
      <w:r>
        <w:rPr>
          <w:rFonts w:hint="eastAsia"/>
          <w:bCs/>
          <w:color w:val="000000"/>
          <w:szCs w:val="21"/>
        </w:rPr>
        <w:t>教育公平是机会公平的主要体现，不等同于教育公共服务共享。</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04E1"/>
    <w:rsid w:val="00096A1B"/>
    <w:rsid w:val="00F504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4E1"/>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04E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04E1"/>
    <w:rPr>
      <w:sz w:val="18"/>
      <w:szCs w:val="18"/>
    </w:rPr>
  </w:style>
  <w:style w:type="paragraph" w:styleId="a4">
    <w:name w:val="footer"/>
    <w:basedOn w:val="a"/>
    <w:link w:val="Char0"/>
    <w:uiPriority w:val="99"/>
    <w:semiHidden/>
    <w:unhideWhenUsed/>
    <w:rsid w:val="00F504E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04E1"/>
    <w:rPr>
      <w:sz w:val="18"/>
      <w:szCs w:val="18"/>
    </w:rPr>
  </w:style>
  <w:style w:type="paragraph" w:styleId="a5">
    <w:name w:val="footnote text"/>
    <w:basedOn w:val="a"/>
    <w:link w:val="Char1"/>
    <w:uiPriority w:val="99"/>
    <w:semiHidden/>
    <w:unhideWhenUsed/>
    <w:qFormat/>
    <w:rsid w:val="00F504E1"/>
    <w:pPr>
      <w:snapToGrid w:val="0"/>
      <w:jc w:val="left"/>
    </w:pPr>
    <w:rPr>
      <w:rFonts w:cs="Times New Roman"/>
      <w:sz w:val="18"/>
      <w:szCs w:val="18"/>
    </w:rPr>
  </w:style>
  <w:style w:type="character" w:customStyle="1" w:styleId="Char1">
    <w:name w:val="脚注文本 Char"/>
    <w:basedOn w:val="a0"/>
    <w:link w:val="a5"/>
    <w:uiPriority w:val="99"/>
    <w:semiHidden/>
    <w:rsid w:val="00F504E1"/>
    <w:rPr>
      <w:rFonts w:ascii="Calibri" w:eastAsia="宋体" w:hAnsi="Calibri" w:cs="Times New Roman"/>
      <w:sz w:val="18"/>
      <w:szCs w:val="18"/>
    </w:rPr>
  </w:style>
  <w:style w:type="character" w:styleId="a6">
    <w:name w:val="footnote reference"/>
    <w:semiHidden/>
    <w:unhideWhenUsed/>
    <w:qFormat/>
    <w:rsid w:val="00F504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yanq</dc:creator>
  <cp:keywords/>
  <dc:description/>
  <cp:lastModifiedBy>yanq</cp:lastModifiedBy>
  <cp:revision>2</cp:revision>
  <dcterms:created xsi:type="dcterms:W3CDTF">2019-11-01T05:55:00Z</dcterms:created>
  <dcterms:modified xsi:type="dcterms:W3CDTF">2019-11-01T05:56:00Z</dcterms:modified>
</cp:coreProperties>
</file>