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Cs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highlight w:val="none"/>
        </w:rPr>
        <w:t>制度公开主要内容</w:t>
      </w:r>
    </w:p>
    <w:p>
      <w:pPr>
        <w:widowControl/>
        <w:spacing w:line="560" w:lineRule="exact"/>
        <w:jc w:val="center"/>
        <w:rPr>
          <w:rFonts w:ascii="楷体_GB2312" w:hAnsi="宋体" w:eastAsia="楷体_GB2312" w:cs="黑体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——</w:t>
      </w:r>
      <w:r>
        <w:rPr>
          <w:rFonts w:hint="eastAsia" w:ascii="楷体_GB2312" w:hAnsi="宋体" w:eastAsia="楷体_GB2312" w:cs="黑体"/>
          <w:color w:val="auto"/>
          <w:sz w:val="30"/>
          <w:szCs w:val="30"/>
          <w:highlight w:val="none"/>
        </w:rPr>
        <w:t>北京市金融业统计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报表制度</w:t>
      </w:r>
    </w:p>
    <w:p>
      <w:pPr>
        <w:widowControl/>
        <w:spacing w:line="560" w:lineRule="exact"/>
        <w:ind w:firstLine="601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一、调查目的</w:t>
      </w:r>
    </w:p>
    <w:p>
      <w:pPr>
        <w:spacing w:line="560" w:lineRule="exact"/>
        <w:ind w:firstLine="632"/>
        <w:rPr>
          <w:rFonts w:ascii="仿宋_GB2312" w:hAnsi="Verdana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为全面、准确、及时反映北京市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金融业发展，体现金融业会计准则新变化，为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科学制定适应北京市功能定位的金融业发展政策提供参考依据，围绕市委市政府“在北京</w:t>
      </w:r>
      <w:r>
        <w:rPr>
          <w:rFonts w:ascii="仿宋_GB2312" w:hAnsi="Verdana" w:eastAsia="仿宋_GB2312" w:cs="宋体"/>
          <w:color w:val="auto"/>
          <w:kern w:val="0"/>
          <w:sz w:val="32"/>
          <w:szCs w:val="32"/>
          <w:highlight w:val="none"/>
        </w:rPr>
        <w:t>基本建成与大国首都地位相匹配的现代金融体系，成为基础雄厚、功能完备、法治健全的国家金融管理中心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”这一总体目标，开展北京市金融业统计调查工作。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调查内容</w:t>
      </w:r>
    </w:p>
    <w:p>
      <w:pPr>
        <w:spacing w:line="560" w:lineRule="exact"/>
        <w:ind w:firstLine="632"/>
        <w:rPr>
          <w:rFonts w:ascii="仿宋_GB2312" w:hAnsi="Verdana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调查内容主要包括金融业单位财务状况、主要业务情况，银行、保险系统机构人员情况等。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1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三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调查范围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及对象</w:t>
      </w:r>
    </w:p>
    <w:p>
      <w:pPr>
        <w:spacing w:line="560" w:lineRule="exact"/>
        <w:ind w:firstLine="632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highlight w:val="none"/>
        </w:rPr>
        <w:t>在京金融业法人单位、视同法人单位、产业活动单位。其中，（1）法人单位包括属于中国人民银行、国家金融监督管理总局、中国证券监督管理委员会、中共北京市委金融委员会办公室管理、审批、备案范围的金融业法人单位，以及年营业收入（或收入合计）2000万元及以上或资产总计5亿元及以上的其他金融业法人单位；（2）视同法人单位包括按照《统计单位划分及具体处理办法》（国统字〔2011〕96号）规定的银行在京分行、保险公司在京分公司；（3）产业活动单位包括证券公司在京机构（证券公司法人本部、证券公司的分公司、证券营业部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1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四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、</w:t>
      </w:r>
      <w:r>
        <w:rPr>
          <w:rFonts w:ascii="黑体" w:hAnsi="黑体" w:eastAsia="黑体"/>
          <w:bCs/>
          <w:color w:val="auto"/>
          <w:sz w:val="32"/>
          <w:szCs w:val="32"/>
          <w:highlight w:val="none"/>
        </w:rPr>
        <w:t>调查方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本调查采用重点调查方法。</w:t>
      </w:r>
    </w:p>
    <w:p>
      <w:pPr>
        <w:widowControl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五、调查的组织实施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北京市统计局负责制定调查方案，组织调查实施，监督调查过程，审核、汇总调查数据。各区（含北京经济技术开发区）统计职能机构负责调查数据的收集和审核，并按照制度规定的时间上报北京市统计局。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outlineLvl w:val="1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六、数据使用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本调查汇总数据可与政府部门共享，为政策制定和行业管理提供统计服务。</w:t>
      </w:r>
    </w:p>
    <w:p>
      <w:pPr>
        <w:tabs>
          <w:tab w:val="left" w:pos="666"/>
          <w:tab w:val="left" w:pos="7560"/>
        </w:tabs>
        <w:adjustRightInd w:val="0"/>
        <w:snapToGrid w:val="0"/>
        <w:spacing w:line="710" w:lineRule="atLeast"/>
        <w:jc w:val="left"/>
        <w:rPr>
          <w:rFonts w:ascii="宋体" w:hAnsi="宋体" w:cs="宋体"/>
          <w:color w:val="auto"/>
          <w:sz w:val="30"/>
          <w:szCs w:val="30"/>
          <w:highlight w:val="none"/>
        </w:rPr>
      </w:pPr>
    </w:p>
    <w:p>
      <w:pPr>
        <w:pStyle w:val="4"/>
        <w:ind w:left="420" w:firstLine="396"/>
        <w:rPr>
          <w:color w:val="auto"/>
          <w:highlight w:val="none"/>
        </w:rPr>
      </w:pPr>
    </w:p>
    <w:p>
      <w:pPr>
        <w:pBdr>
          <w:between w:val="single" w:color="auto" w:sz="6" w:space="1"/>
        </w:pBdr>
        <w:tabs>
          <w:tab w:val="left" w:pos="8460"/>
        </w:tabs>
        <w:adjustRightInd w:val="0"/>
        <w:snapToGrid w:val="0"/>
        <w:spacing w:line="20" w:lineRule="exact"/>
        <w:ind w:right="374"/>
        <w:textAlignment w:val="bottom"/>
        <w:rPr>
          <w:rFonts w:hint="eastAsia"/>
          <w:w w:val="90"/>
          <w:sz w:val="10"/>
          <w:szCs w:val="10"/>
        </w:rPr>
      </w:pPr>
    </w:p>
    <w:p/>
    <w:sectPr>
      <w:footerReference r:id="rId3" w:type="default"/>
      <w:footerReference r:id="rId4" w:type="even"/>
      <w:pgSz w:w="11906" w:h="16838"/>
      <w:pgMar w:top="1985" w:right="1531" w:bottom="1701" w:left="1531" w:header="851" w:footer="119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楷体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  <w:lang w:val="zh-CN"/>
      </w:rPr>
      <w:t xml:space="preserve"> </w:t>
    </w:r>
  </w:p>
  <w:p>
    <w:pPr>
      <w:pStyle w:val="3"/>
      <w:ind w:right="210" w:rightChars="100"/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="210" w:leftChars="100"/>
      <w:rPr>
        <w:rFonts w:hint="eastAsia"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E6157"/>
    <w:rsid w:val="2FFF66B3"/>
    <w:rsid w:val="DDD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560" w:lineRule="atLeast"/>
      <w:ind w:firstLine="720"/>
    </w:pPr>
    <w:rPr>
      <w:rFonts w:ascii="仿宋_GB2312" w:hAnsi="宋体" w:eastAsia="仿宋_GB2312"/>
      <w:color w:val="000000"/>
      <w:spacing w:val="-6"/>
      <w:sz w:val="32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left="200" w:leftChars="200" w:firstLine="200" w:firstLineChars="200"/>
    </w:pPr>
    <w:rPr>
      <w:rFonts w:ascii="Calibri" w:hAnsi="Calibri" w:eastAsia="宋体" w:cs="Times New Roman"/>
      <w:color w:val="00000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2025-12-18T19:32:00Z</dcterms:created>
  <dc:creator>bjtjj</dc:creator>
  <cp:lastModifiedBy>bjtjj</cp:lastModifiedBy>
  <dcterms:modified xsi:type="dcterms:W3CDTF">2026-01-15T14:09:25Z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