
<file path=[Content_Types].xml><?xml version="1.0" encoding="utf-8"?>
<Types xmlns="http://schemas.openxmlformats.org/package/2006/content-types">
  <Override PartName="/word/footnotes.xml" ContentType="application/vnd.openxmlformats-officedocument.wordprocessingml.footnot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19C" w:rsidRDefault="0041319C" w:rsidP="0041319C">
      <w:pPr>
        <w:spacing w:line="560" w:lineRule="exact"/>
        <w:jc w:val="center"/>
        <w:rPr>
          <w:rFonts w:ascii="方正小标宋简体" w:eastAsia="方正小标宋简体"/>
          <w:color w:val="000000"/>
          <w:sz w:val="44"/>
          <w:szCs w:val="44"/>
        </w:rPr>
      </w:pPr>
      <w:r w:rsidRPr="0041319C">
        <w:rPr>
          <w:rFonts w:ascii="方正小标宋简体" w:eastAsia="方正小标宋简体" w:hint="eastAsia"/>
          <w:color w:val="000000"/>
          <w:sz w:val="44"/>
          <w:szCs w:val="44"/>
        </w:rPr>
        <w:t>北京市统计局（</w:t>
      </w:r>
      <w:r w:rsidR="00202A68">
        <w:rPr>
          <w:rFonts w:ascii="方正小标宋简体" w:eastAsia="方正小标宋简体" w:hint="eastAsia"/>
          <w:color w:val="000000"/>
          <w:sz w:val="44"/>
          <w:szCs w:val="44"/>
        </w:rPr>
        <w:t>本级</w:t>
      </w:r>
      <w:r w:rsidRPr="0041319C">
        <w:rPr>
          <w:rFonts w:ascii="方正小标宋简体" w:eastAsia="方正小标宋简体" w:hint="eastAsia"/>
          <w:color w:val="000000"/>
          <w:sz w:val="44"/>
          <w:szCs w:val="44"/>
        </w:rPr>
        <w:t>）</w:t>
      </w:r>
      <w:r w:rsidR="007B6CE6">
        <w:rPr>
          <w:rFonts w:ascii="方正小标宋简体" w:eastAsia="方正小标宋简体" w:hint="eastAsia"/>
          <w:color w:val="000000"/>
          <w:sz w:val="44"/>
          <w:szCs w:val="44"/>
        </w:rPr>
        <w:t>2025年度单位预算</w:t>
      </w:r>
    </w:p>
    <w:p w:rsidR="007B6CE6" w:rsidRDefault="007B6CE6" w:rsidP="0041319C">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信息公开</w:t>
      </w:r>
    </w:p>
    <w:p w:rsidR="007B6CE6" w:rsidRDefault="007B6CE6">
      <w:pPr>
        <w:spacing w:line="240" w:lineRule="exact"/>
        <w:jc w:val="center"/>
        <w:rPr>
          <w:rFonts w:ascii="方正小标宋简体" w:eastAsia="方正小标宋简体"/>
          <w:color w:val="000000"/>
          <w:sz w:val="32"/>
          <w:szCs w:val="32"/>
        </w:rPr>
      </w:pPr>
    </w:p>
    <w:p w:rsidR="007B6CE6" w:rsidRPr="00202A68" w:rsidRDefault="007B6CE6" w:rsidP="00202A6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7B6CE6" w:rsidRDefault="007B6CE6">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2025年度单位预算情况说明</w:t>
      </w:r>
    </w:p>
    <w:p w:rsidR="007B6CE6" w:rsidRDefault="007B6CE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rsidR="007B6CE6" w:rsidRDefault="007B6CE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7B6CE6" w:rsidRDefault="007B6CE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7B6CE6" w:rsidRDefault="007B6CE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7B6CE6" w:rsidRDefault="007B6CE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7B6CE6" w:rsidRDefault="007B6CE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7B6CE6" w:rsidRDefault="007B6CE6">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2025年度单位预算报表</w:t>
      </w:r>
    </w:p>
    <w:p w:rsidR="007B6CE6" w:rsidRDefault="007B6CE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7B6CE6" w:rsidRDefault="007B6CE6">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7B6CE6" w:rsidRDefault="007B6CE6">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7B6CE6" w:rsidRDefault="007B6CE6">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7B6CE6" w:rsidRDefault="007B6CE6">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7B6CE6" w:rsidRDefault="007B6CE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7B6CE6" w:rsidRDefault="007B6CE6">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7B6CE6" w:rsidRDefault="007B6CE6">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7B6CE6" w:rsidRDefault="007B6CE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7B6CE6" w:rsidRDefault="007B6CE6">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7B6CE6" w:rsidRDefault="007B6CE6">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7B6CE6" w:rsidRDefault="007B6CE6" w:rsidP="00AE5C61">
      <w:pPr>
        <w:autoSpaceDE w:val="0"/>
        <w:autoSpaceDN w:val="0"/>
        <w:adjustRightInd w:val="0"/>
        <w:spacing w:line="560" w:lineRule="exact"/>
        <w:ind w:firstLineChars="200" w:firstLine="568"/>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8"/>
          <w:kern w:val="0"/>
          <w:sz w:val="32"/>
          <w:szCs w:val="32"/>
          <w:lang w:val="zh-CN"/>
        </w:rPr>
        <w:t>十</w:t>
      </w:r>
      <w:r>
        <w:rPr>
          <w:rFonts w:ascii="仿宋_GB2312" w:eastAsia="仿宋_GB2312" w:hAnsi="仿宋_GB2312" w:cs="仿宋_GB2312" w:hint="eastAsia"/>
          <w:color w:val="000000"/>
          <w:kern w:val="0"/>
          <w:sz w:val="32"/>
          <w:szCs w:val="32"/>
          <w:lang w:val="zh-CN"/>
        </w:rPr>
        <w:t>二、政府购买服务预算财政拨款明细表</w:t>
      </w:r>
    </w:p>
    <w:p w:rsidR="007B6CE6" w:rsidRDefault="007B6CE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7B6CE6" w:rsidRDefault="007B6CE6" w:rsidP="00202A68">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第一部分  2025年度单位预算情况说明</w:t>
      </w:r>
    </w:p>
    <w:p w:rsidR="007B6CE6" w:rsidRDefault="007B6CE6">
      <w:pPr>
        <w:spacing w:line="360" w:lineRule="auto"/>
        <w:rPr>
          <w:rFonts w:ascii="仿宋_GB2312" w:eastAsia="仿宋_GB2312"/>
          <w:color w:val="000000"/>
          <w:sz w:val="32"/>
          <w:szCs w:val="32"/>
        </w:rPr>
      </w:pPr>
    </w:p>
    <w:p w:rsidR="007B6CE6" w:rsidRDefault="007B6CE6">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202A68" w:rsidRDefault="007B6CE6" w:rsidP="00202A6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202A68" w:rsidRDefault="00202A68" w:rsidP="00202A68">
      <w:pPr>
        <w:spacing w:line="540" w:lineRule="exact"/>
        <w:ind w:firstLineChars="200" w:firstLine="640"/>
        <w:rPr>
          <w:rFonts w:ascii="楷体_GB2312" w:eastAsia="楷体_GB2312"/>
          <w:color w:val="000000"/>
          <w:sz w:val="32"/>
          <w:szCs w:val="32"/>
        </w:rPr>
      </w:pPr>
      <w:r>
        <w:rPr>
          <w:rFonts w:ascii="仿宋_GB2312" w:eastAsia="仿宋_GB2312" w:hAnsi="楷体" w:hint="eastAsia"/>
          <w:sz w:val="32"/>
          <w:szCs w:val="32"/>
        </w:rPr>
        <w:t>北京市统计局是行政单位，是北京市政府直属机构</w:t>
      </w:r>
      <w:r>
        <w:rPr>
          <w:rFonts w:ascii="楷体_GB2312" w:eastAsia="楷体_GB2312" w:hint="eastAsia"/>
          <w:color w:val="000000"/>
          <w:sz w:val="32"/>
          <w:szCs w:val="32"/>
        </w:rPr>
        <w:t>。</w:t>
      </w:r>
    </w:p>
    <w:p w:rsidR="00202A68" w:rsidRDefault="00202A68" w:rsidP="00202A68">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主要职责</w:t>
      </w:r>
    </w:p>
    <w:p w:rsidR="00202A68" w:rsidRDefault="00202A68" w:rsidP="00202A68">
      <w:pPr>
        <w:tabs>
          <w:tab w:val="left" w:pos="851"/>
        </w:tabs>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1.贯彻执行国家关于统计方面的法律、法规、规章和统计制度、统计标准，起草本市相关地方性法规草案、政府规章草案，拟订地方统计制度和统计标准，监督检查统计法律、法规、规章和统计制度、统计标准的实施；承担组织领导和协调全市统计工作，确保统计数据真实、准确、及时的责任。</w:t>
      </w:r>
    </w:p>
    <w:p w:rsidR="00202A68" w:rsidRDefault="00202A68" w:rsidP="00202A68">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2.负责贯彻执行国民经济核算体系，组织实施全市及各区县国民经济核算制度和全市投入产出调查，核算全市及各区县地区生产总值，汇编提供国民经济核算资料，监督管理各区县国民经济核算工作。</w:t>
      </w:r>
    </w:p>
    <w:p w:rsidR="00202A68" w:rsidRDefault="00202A68" w:rsidP="00202A68">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3.负责组织实施全市人口、经济、农业等重大国情国力普查工作；会同有关部门拟订重大市情市力的普查及专项调查计划、方案并组织实施；汇总、整理和提供有关市情市力方面的统计数据。</w:t>
      </w:r>
    </w:p>
    <w:p w:rsidR="00202A68" w:rsidRDefault="00202A68" w:rsidP="00202A68">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4.负责组织实施全市国民经济各行业的统计调查，收集、汇总、整理和提供有关调查的统计数据，综合整理和提供地质勘查、交通运输、邮政、教育、卫生、社会保障、公用事业等全市性基本统计数据。</w:t>
      </w:r>
    </w:p>
    <w:p w:rsidR="00202A68" w:rsidRDefault="00202A68" w:rsidP="00202A68">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5.负责组织实施全市能源、投资、价格、收入、科技、人口、劳动力、旅游、社会发展基本情况、环境基本状况等</w:t>
      </w:r>
      <w:r>
        <w:rPr>
          <w:rFonts w:ascii="仿宋_GB2312" w:eastAsia="仿宋_GB2312" w:hAnsi="楷体" w:hint="eastAsia"/>
          <w:sz w:val="32"/>
          <w:szCs w:val="32"/>
        </w:rPr>
        <w:lastRenderedPageBreak/>
        <w:t>统计调查，收集、汇总、整理和提供有关调查的统计数据，综合整理和提供资源、房屋、对外贸易、对外经济等全市性基本统计数据。</w:t>
      </w:r>
    </w:p>
    <w:p w:rsidR="00202A68" w:rsidRDefault="00202A68" w:rsidP="00202A68">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6.负责组织各区县、各部门的经济、社会、科技和资源环境统计调查，统一核定、管理、公布全市性基本统计资料，定期发布国民经济和社会发展情况的统计信息。</w:t>
      </w:r>
    </w:p>
    <w:p w:rsidR="00202A68" w:rsidRDefault="00202A68" w:rsidP="00202A68">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7.负责对全市国民经济、社会发展、科技进步和资源环境等情况进行统计分析、统计预测和统计监督，向市委、市政府及有关部门提供统计信息和咨询建议。</w:t>
      </w:r>
    </w:p>
    <w:p w:rsidR="00202A68" w:rsidRDefault="00202A68" w:rsidP="00202A68">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8.依法审批或备案各部门统计调查项目、各区县统计调查项目，指导专业统计基础工作、统计基层业务基础建设，建立健全统计数据质量审核、监控和评估制度，开展对重要统计数据的审核、监控和评估，依法监督管理涉外调查活动。</w:t>
      </w:r>
    </w:p>
    <w:p w:rsidR="00202A68" w:rsidRDefault="00202A68" w:rsidP="00202A68">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9.依法协管区县政府统计部门主要负责人；指导本市统计专业技术队伍建设、统计教育和培训，负责统计从业资格认定工作，会同有关部门组织管理统计专业资格考试、职务评聘工作；监督管理区县政府统计部门由市财政提供的统计经费和专项基本建设投资。</w:t>
      </w:r>
    </w:p>
    <w:p w:rsidR="00202A68" w:rsidRDefault="00202A68" w:rsidP="00202A68">
      <w:pPr>
        <w:spacing w:line="540" w:lineRule="exact"/>
        <w:ind w:firstLine="555"/>
        <w:rPr>
          <w:rFonts w:ascii="仿宋_GB2312" w:eastAsia="仿宋_GB2312" w:hAnsi="楷体"/>
          <w:sz w:val="32"/>
          <w:szCs w:val="32"/>
        </w:rPr>
      </w:pPr>
      <w:r>
        <w:rPr>
          <w:rFonts w:ascii="仿宋_GB2312" w:eastAsia="仿宋_GB2312" w:hAnsi="楷体" w:hint="eastAsia"/>
          <w:sz w:val="32"/>
          <w:szCs w:val="32"/>
        </w:rPr>
        <w:t xml:space="preserve"> 10.负责拟订本市统计信息工程建设规划，建立健全并管理本市统计信息自动化系统和统计数据库系统。组织建立和管理全市宏观经济与社会发展基础数据库，组织制定各区县、各部门统计数据库和网络的基本标准和运行规则，指导区县统计信息化系统建设。</w:t>
      </w:r>
    </w:p>
    <w:p w:rsidR="007B6CE6" w:rsidRDefault="00202A68" w:rsidP="00202A68">
      <w:pPr>
        <w:spacing w:line="560" w:lineRule="exact"/>
        <w:ind w:firstLineChars="200" w:firstLine="640"/>
        <w:rPr>
          <w:rFonts w:ascii="楷体_GB2312" w:eastAsia="楷体_GB2312"/>
          <w:color w:val="000000"/>
          <w:sz w:val="32"/>
          <w:szCs w:val="32"/>
        </w:rPr>
      </w:pPr>
      <w:r>
        <w:rPr>
          <w:rFonts w:ascii="仿宋_GB2312" w:eastAsia="仿宋_GB2312" w:hAnsi="楷体" w:hint="eastAsia"/>
          <w:sz w:val="32"/>
          <w:szCs w:val="32"/>
        </w:rPr>
        <w:t xml:space="preserve"> 11.承办市政府和国家统计局交办的其他事项。</w:t>
      </w:r>
    </w:p>
    <w:p w:rsidR="00202A68" w:rsidRPr="00202A68" w:rsidRDefault="007B6CE6" w:rsidP="00202A6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202A68" w:rsidRDefault="00202A68" w:rsidP="00202A68">
      <w:pPr>
        <w:spacing w:line="540" w:lineRule="exact"/>
        <w:ind w:firstLine="555"/>
        <w:rPr>
          <w:rFonts w:ascii="楷体_GB2312" w:eastAsia="楷体_GB2312"/>
          <w:color w:val="000000"/>
          <w:sz w:val="32"/>
          <w:szCs w:val="32"/>
        </w:rPr>
      </w:pPr>
      <w:r>
        <w:rPr>
          <w:rFonts w:ascii="仿宋_GB2312" w:eastAsia="仿宋_GB2312" w:hAnsi="楷体" w:hint="eastAsia"/>
          <w:sz w:val="32"/>
          <w:szCs w:val="32"/>
        </w:rPr>
        <w:lastRenderedPageBreak/>
        <w:t>根据《北京市人民政府办公厅关于印发北京市统计局主要职责内设机构和人员编制规定的通知》及相关机构编制文件,市统计局（本级）内设机构24个，分别为：办公室、法规处、设管处、综合处、核算处、监测评价处、工业处、投资处、贸易外经处、服务业处、农村处、人口处、社会处、能源处、科技处、金融处、统计督察处、执法处、人教处、财务处、机关党委（党建工作）、机关纪委、工会、离退休干部处。下属参公管理事业单位1个北京市统计局普查中心。</w:t>
      </w:r>
    </w:p>
    <w:p w:rsidR="007B6CE6" w:rsidRDefault="007B6CE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FA79AA" w:rsidRPr="00FA79AA" w:rsidRDefault="006209CF" w:rsidP="00FA79AA">
      <w:pPr>
        <w:rPr>
          <w:rFonts w:ascii="仿宋_GB2312" w:eastAsia="仿宋_GB2312"/>
          <w:sz w:val="32"/>
          <w:szCs w:val="32"/>
        </w:rPr>
      </w:pPr>
      <w:r>
        <w:rPr>
          <w:rFonts w:ascii="仿宋_GB2312" w:eastAsia="仿宋_GB2312" w:hAnsi="Calibri" w:hint="eastAsia"/>
          <w:sz w:val="32"/>
          <w:szCs w:val="32"/>
        </w:rPr>
        <w:t>北京市统计局（本级）行政编制</w:t>
      </w:r>
      <w:r>
        <w:rPr>
          <w:rFonts w:ascii="仿宋_GB2312" w:eastAsia="仿宋_GB2312" w:hint="eastAsia"/>
          <w:sz w:val="32"/>
          <w:szCs w:val="32"/>
        </w:rPr>
        <w:t>171</w:t>
      </w:r>
      <w:r>
        <w:rPr>
          <w:rFonts w:ascii="仿宋_GB2312" w:eastAsia="仿宋_GB2312" w:hAnsi="Calibri" w:hint="eastAsia"/>
          <w:sz w:val="32"/>
          <w:szCs w:val="32"/>
        </w:rPr>
        <w:t>人，实际</w:t>
      </w:r>
      <w:r>
        <w:rPr>
          <w:rFonts w:ascii="仿宋_GB2312" w:eastAsia="仿宋_GB2312" w:hint="eastAsia"/>
          <w:sz w:val="32"/>
          <w:szCs w:val="32"/>
        </w:rPr>
        <w:t>165</w:t>
      </w:r>
      <w:r>
        <w:rPr>
          <w:rFonts w:ascii="仿宋_GB2312" w:eastAsia="仿宋_GB2312" w:hAnsi="Calibri" w:hint="eastAsia"/>
          <w:sz w:val="32"/>
          <w:szCs w:val="32"/>
        </w:rPr>
        <w:t>人；事业编制18人，实际17人</w:t>
      </w:r>
      <w:r w:rsidRPr="00FA79AA">
        <w:rPr>
          <w:rFonts w:ascii="仿宋_GB2312" w:eastAsia="仿宋_GB2312" w:hint="eastAsia"/>
          <w:sz w:val="32"/>
          <w:szCs w:val="32"/>
        </w:rPr>
        <w:t>。</w:t>
      </w:r>
      <w:r w:rsidR="00FA79AA" w:rsidRPr="00FA79AA">
        <w:rPr>
          <w:rFonts w:ascii="仿宋_GB2312" w:eastAsia="仿宋_GB2312"/>
          <w:sz w:val="32"/>
          <w:szCs w:val="32"/>
        </w:rPr>
        <w:t>离退休人员208人，其中：离休2人，退休206人。</w:t>
      </w:r>
    </w:p>
    <w:p w:rsidR="007B6CE6" w:rsidRDefault="007B6CE6">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2025年度收入预算</w:t>
      </w:r>
      <w:r w:rsidR="002277C1" w:rsidRPr="002277C1">
        <w:rPr>
          <w:rFonts w:ascii="仿宋_GB2312" w:eastAsia="仿宋_GB2312"/>
          <w:sz w:val="32"/>
          <w:szCs w:val="32"/>
        </w:rPr>
        <w:t>17879.28</w:t>
      </w:r>
      <w:r>
        <w:rPr>
          <w:rFonts w:ascii="仿宋_GB2312" w:eastAsia="仿宋_GB2312" w:hint="eastAsia"/>
          <w:sz w:val="32"/>
          <w:szCs w:val="32"/>
        </w:rPr>
        <w:t>万元，比2024年年初预算数</w:t>
      </w:r>
      <w:r w:rsidR="002277C1">
        <w:rPr>
          <w:rFonts w:ascii="仿宋_GB2312" w:eastAsia="仿宋_GB2312"/>
          <w:sz w:val="32"/>
          <w:szCs w:val="32"/>
        </w:rPr>
        <w:t>15866.50</w:t>
      </w:r>
      <w:r>
        <w:rPr>
          <w:rFonts w:ascii="仿宋_GB2312" w:eastAsia="仿宋_GB2312" w:hint="eastAsia"/>
          <w:sz w:val="32"/>
          <w:szCs w:val="32"/>
        </w:rPr>
        <w:t>万元增加</w:t>
      </w:r>
      <w:r w:rsidR="002277C1">
        <w:rPr>
          <w:rFonts w:ascii="仿宋_GB2312" w:eastAsia="仿宋_GB2312" w:hint="eastAsia"/>
          <w:sz w:val="32"/>
          <w:szCs w:val="32"/>
        </w:rPr>
        <w:t>2012.78</w:t>
      </w:r>
      <w:r>
        <w:rPr>
          <w:rFonts w:ascii="仿宋_GB2312" w:eastAsia="仿宋_GB2312" w:hint="eastAsia"/>
          <w:sz w:val="32"/>
          <w:szCs w:val="32"/>
        </w:rPr>
        <w:t>万元，增长</w:t>
      </w:r>
      <w:r w:rsidR="002277C1">
        <w:rPr>
          <w:rFonts w:ascii="仿宋_GB2312" w:eastAsia="仿宋_GB2312" w:hint="eastAsia"/>
          <w:sz w:val="32"/>
          <w:szCs w:val="32"/>
        </w:rPr>
        <w:t>12.6</w:t>
      </w:r>
      <w:r w:rsidR="00E25B51">
        <w:rPr>
          <w:rFonts w:ascii="仿宋_GB2312" w:eastAsia="仿宋_GB2312" w:hint="eastAsia"/>
          <w:sz w:val="32"/>
          <w:szCs w:val="32"/>
        </w:rPr>
        <w:t>9</w:t>
      </w:r>
      <w:r>
        <w:rPr>
          <w:rFonts w:ascii="仿宋_GB2312" w:eastAsia="仿宋_GB2312" w:hint="eastAsia"/>
          <w:sz w:val="32"/>
          <w:szCs w:val="32"/>
        </w:rPr>
        <w:t>%。主要原因是</w:t>
      </w:r>
      <w:r w:rsidR="002277C1">
        <w:rPr>
          <w:rFonts w:ascii="仿宋_GB2312" w:eastAsia="仿宋_GB2312" w:hint="eastAsia"/>
          <w:sz w:val="32"/>
          <w:szCs w:val="32"/>
        </w:rPr>
        <w:t>增加基建项目结转经费</w:t>
      </w:r>
      <w:r>
        <w:rPr>
          <w:rFonts w:ascii="仿宋_GB2312" w:eastAsia="仿宋_GB2312" w:hint="eastAsia"/>
          <w:sz w:val="32"/>
          <w:szCs w:val="32"/>
        </w:rPr>
        <w:t>。</w:t>
      </w:r>
    </w:p>
    <w:p w:rsidR="007B6CE6" w:rsidRDefault="007B6CE6">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sidR="002277C1">
        <w:rPr>
          <w:rFonts w:ascii="楷体_GB2312" w:eastAsia="楷体_GB2312"/>
          <w:sz w:val="32"/>
          <w:szCs w:val="32"/>
        </w:rPr>
        <w:t>15</w:t>
      </w:r>
      <w:r w:rsidR="002277C1" w:rsidRPr="002277C1">
        <w:rPr>
          <w:rFonts w:ascii="楷体_GB2312" w:eastAsia="楷体_GB2312"/>
          <w:sz w:val="32"/>
          <w:szCs w:val="32"/>
        </w:rPr>
        <w:t>899.02</w:t>
      </w:r>
      <w:r>
        <w:rPr>
          <w:rFonts w:ascii="楷体_GB2312" w:eastAsia="楷体_GB2312" w:hint="eastAsia"/>
          <w:sz w:val="32"/>
          <w:szCs w:val="32"/>
        </w:rPr>
        <w:t>万元</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sidR="002277C1">
        <w:rPr>
          <w:rFonts w:ascii="楷体_GB2312" w:eastAsia="楷体_GB2312"/>
          <w:sz w:val="32"/>
          <w:szCs w:val="32"/>
        </w:rPr>
        <w:t>15</w:t>
      </w:r>
      <w:r w:rsidR="002277C1" w:rsidRPr="002277C1">
        <w:rPr>
          <w:rFonts w:ascii="楷体_GB2312" w:eastAsia="楷体_GB2312"/>
          <w:sz w:val="32"/>
          <w:szCs w:val="32"/>
        </w:rPr>
        <w:t>899.02</w:t>
      </w:r>
      <w:r>
        <w:rPr>
          <w:rFonts w:ascii="仿宋_GB2312" w:eastAsia="仿宋_GB2312" w:hint="eastAsia"/>
          <w:sz w:val="32"/>
          <w:szCs w:val="32"/>
        </w:rPr>
        <w:t>万元。</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sidR="002277C1">
        <w:rPr>
          <w:rFonts w:ascii="仿宋_GB2312" w:eastAsia="仿宋_GB2312" w:hint="eastAsia"/>
          <w:sz w:val="32"/>
          <w:szCs w:val="32"/>
        </w:rPr>
        <w:t>0</w:t>
      </w:r>
      <w:r>
        <w:rPr>
          <w:rFonts w:ascii="仿宋_GB2312" w:eastAsia="仿宋_GB2312" w:hint="eastAsia"/>
          <w:sz w:val="32"/>
          <w:szCs w:val="32"/>
        </w:rPr>
        <w:t>万元。</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2277C1">
        <w:rPr>
          <w:rFonts w:ascii="仿宋_GB2312" w:eastAsia="仿宋_GB2312" w:hint="eastAsia"/>
          <w:sz w:val="32"/>
          <w:szCs w:val="32"/>
        </w:rPr>
        <w:t>0</w:t>
      </w:r>
      <w:r>
        <w:rPr>
          <w:rFonts w:ascii="仿宋_GB2312" w:eastAsia="仿宋_GB2312" w:hint="eastAsia"/>
          <w:sz w:val="32"/>
          <w:szCs w:val="32"/>
        </w:rPr>
        <w:t>万元。</w:t>
      </w:r>
    </w:p>
    <w:p w:rsidR="007B6CE6" w:rsidRDefault="007B6CE6">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sidR="002277C1">
        <w:rPr>
          <w:rFonts w:ascii="楷体_GB2312" w:eastAsia="楷体_GB2312" w:hint="eastAsia"/>
          <w:sz w:val="32"/>
          <w:szCs w:val="32"/>
        </w:rPr>
        <w:t>2</w:t>
      </w:r>
      <w:r>
        <w:rPr>
          <w:rFonts w:ascii="楷体_GB2312" w:eastAsia="楷体_GB2312" w:hint="eastAsia"/>
          <w:sz w:val="32"/>
          <w:szCs w:val="32"/>
        </w:rPr>
        <w:t>万元</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sidR="002277C1">
        <w:rPr>
          <w:rFonts w:ascii="仿宋_GB2312" w:eastAsia="仿宋_GB2312" w:hint="eastAsia"/>
          <w:sz w:val="32"/>
          <w:szCs w:val="32"/>
        </w:rPr>
        <w:t>0</w:t>
      </w:r>
      <w:r>
        <w:rPr>
          <w:rFonts w:ascii="仿宋_GB2312" w:eastAsia="仿宋_GB2312" w:hint="eastAsia"/>
          <w:sz w:val="32"/>
          <w:szCs w:val="32"/>
        </w:rPr>
        <w:t>万元。</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sidR="002277C1">
        <w:rPr>
          <w:rFonts w:ascii="仿宋_GB2312" w:eastAsia="仿宋_GB2312" w:hint="eastAsia"/>
          <w:sz w:val="32"/>
          <w:szCs w:val="32"/>
        </w:rPr>
        <w:t>0</w:t>
      </w:r>
      <w:r>
        <w:rPr>
          <w:rFonts w:ascii="仿宋_GB2312" w:eastAsia="仿宋_GB2312" w:hint="eastAsia"/>
          <w:sz w:val="32"/>
          <w:szCs w:val="32"/>
        </w:rPr>
        <w:t>万元。</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sidR="002277C1">
        <w:rPr>
          <w:rFonts w:ascii="仿宋_GB2312" w:eastAsia="仿宋_GB2312" w:hint="eastAsia"/>
          <w:sz w:val="32"/>
          <w:szCs w:val="32"/>
        </w:rPr>
        <w:t>0</w:t>
      </w:r>
      <w:r>
        <w:rPr>
          <w:rFonts w:ascii="仿宋_GB2312" w:eastAsia="仿宋_GB2312" w:hint="eastAsia"/>
          <w:sz w:val="32"/>
          <w:szCs w:val="32"/>
        </w:rPr>
        <w:t>万元。</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7.附属单位上缴收入</w:t>
      </w:r>
      <w:r w:rsidR="002277C1">
        <w:rPr>
          <w:rFonts w:ascii="仿宋_GB2312" w:eastAsia="仿宋_GB2312" w:hint="eastAsia"/>
          <w:sz w:val="32"/>
          <w:szCs w:val="32"/>
        </w:rPr>
        <w:t>0</w:t>
      </w:r>
      <w:r>
        <w:rPr>
          <w:rFonts w:ascii="仿宋_GB2312" w:eastAsia="仿宋_GB2312" w:hint="eastAsia"/>
          <w:sz w:val="32"/>
          <w:szCs w:val="32"/>
        </w:rPr>
        <w:t>万元。</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sidR="002277C1">
        <w:rPr>
          <w:rFonts w:ascii="仿宋_GB2312" w:eastAsia="仿宋_GB2312" w:hint="eastAsia"/>
          <w:sz w:val="32"/>
          <w:szCs w:val="32"/>
        </w:rPr>
        <w:t>0</w:t>
      </w:r>
      <w:r>
        <w:rPr>
          <w:rFonts w:ascii="仿宋_GB2312" w:eastAsia="仿宋_GB2312" w:hint="eastAsia"/>
          <w:sz w:val="32"/>
          <w:szCs w:val="32"/>
        </w:rPr>
        <w:t>万元。</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sidR="002277C1">
        <w:rPr>
          <w:rFonts w:ascii="仿宋_GB2312" w:eastAsia="仿宋_GB2312" w:hint="eastAsia"/>
          <w:sz w:val="32"/>
          <w:szCs w:val="32"/>
        </w:rPr>
        <w:t>2</w:t>
      </w:r>
      <w:r>
        <w:rPr>
          <w:rFonts w:ascii="仿宋_GB2312" w:eastAsia="仿宋_GB2312" w:hint="eastAsia"/>
          <w:sz w:val="32"/>
          <w:szCs w:val="32"/>
        </w:rPr>
        <w:t>万元。</w:t>
      </w:r>
    </w:p>
    <w:p w:rsidR="007B6CE6" w:rsidRDefault="007B6CE6">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sidR="00E25B51">
        <w:rPr>
          <w:rFonts w:ascii="仿宋_GB2312" w:eastAsia="仿宋_GB2312"/>
          <w:sz w:val="32"/>
          <w:szCs w:val="32"/>
        </w:rPr>
        <w:t>1</w:t>
      </w:r>
      <w:r w:rsidR="00530718" w:rsidRPr="002277C1">
        <w:rPr>
          <w:rFonts w:ascii="仿宋_GB2312" w:eastAsia="仿宋_GB2312"/>
          <w:sz w:val="32"/>
          <w:szCs w:val="32"/>
        </w:rPr>
        <w:t>9</w:t>
      </w:r>
      <w:r w:rsidR="00A10A83">
        <w:rPr>
          <w:rFonts w:ascii="仿宋_GB2312" w:eastAsia="仿宋_GB2312" w:hint="eastAsia"/>
          <w:sz w:val="32"/>
          <w:szCs w:val="32"/>
        </w:rPr>
        <w:t>78.26</w:t>
      </w:r>
      <w:r>
        <w:rPr>
          <w:rFonts w:ascii="楷体_GB2312" w:eastAsia="楷体_GB2312" w:hint="eastAsia"/>
          <w:sz w:val="32"/>
          <w:szCs w:val="32"/>
        </w:rPr>
        <w:t>万元</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sidR="002277C1" w:rsidRPr="002277C1">
        <w:rPr>
          <w:rFonts w:ascii="仿宋_GB2312" w:eastAsia="仿宋_GB2312"/>
          <w:sz w:val="32"/>
          <w:szCs w:val="32"/>
        </w:rPr>
        <w:t>19</w:t>
      </w:r>
      <w:r w:rsidR="00A10A83">
        <w:rPr>
          <w:rFonts w:ascii="仿宋_GB2312" w:eastAsia="仿宋_GB2312" w:hint="eastAsia"/>
          <w:sz w:val="32"/>
          <w:szCs w:val="32"/>
        </w:rPr>
        <w:t>78.26</w:t>
      </w:r>
      <w:r>
        <w:rPr>
          <w:rFonts w:ascii="仿宋_GB2312" w:eastAsia="仿宋_GB2312" w:hint="eastAsia"/>
          <w:sz w:val="32"/>
          <w:szCs w:val="32"/>
        </w:rPr>
        <w:t>万元。</w:t>
      </w:r>
    </w:p>
    <w:p w:rsidR="002277C1" w:rsidRPr="002277C1" w:rsidRDefault="00A10A83" w:rsidP="00A10A83">
      <w:pPr>
        <w:jc w:val="center"/>
      </w:pPr>
      <w:r w:rsidRPr="00A10A83">
        <w:rPr>
          <w:noProof/>
        </w:rPr>
        <w:drawing>
          <wp:inline distT="0" distB="0" distL="0" distR="0">
            <wp:extent cx="3952875" cy="2638425"/>
            <wp:effectExtent l="19050" t="0" r="9525"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B6CE6" w:rsidRDefault="007B6CE6">
      <w:pPr>
        <w:pStyle w:val="2"/>
        <w:jc w:val="center"/>
        <w:rPr>
          <w:rFonts w:ascii="仿宋_GB2312" w:eastAsia="仿宋_GB2312"/>
          <w:b w:val="0"/>
          <w:bCs w:val="0"/>
          <w:sz w:val="32"/>
        </w:rPr>
      </w:pPr>
      <w:r>
        <w:rPr>
          <w:rFonts w:ascii="仿宋_GB2312" w:eastAsia="仿宋_GB2312" w:hint="eastAsia"/>
          <w:sz w:val="32"/>
        </w:rPr>
        <w:t>图1：收入预算</w:t>
      </w:r>
    </w:p>
    <w:p w:rsidR="007B6CE6" w:rsidRDefault="007B6CE6">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2025年支出预算</w:t>
      </w:r>
      <w:r w:rsidR="00E25B51">
        <w:rPr>
          <w:rFonts w:ascii="仿宋_GB2312" w:eastAsia="仿宋_GB2312"/>
          <w:sz w:val="32"/>
          <w:szCs w:val="32"/>
        </w:rPr>
        <w:t>17</w:t>
      </w:r>
      <w:r w:rsidR="00530718" w:rsidRPr="00530718">
        <w:rPr>
          <w:rFonts w:ascii="仿宋_GB2312" w:eastAsia="仿宋_GB2312"/>
          <w:sz w:val="32"/>
          <w:szCs w:val="32"/>
        </w:rPr>
        <w:t>879.28</w:t>
      </w:r>
      <w:r>
        <w:rPr>
          <w:rFonts w:ascii="仿宋_GB2312" w:eastAsia="仿宋_GB2312" w:hint="eastAsia"/>
          <w:sz w:val="32"/>
          <w:szCs w:val="32"/>
        </w:rPr>
        <w:t>万元，比2024年年初预算数</w:t>
      </w:r>
      <w:r w:rsidR="00530718">
        <w:rPr>
          <w:rFonts w:ascii="仿宋_GB2312" w:eastAsia="仿宋_GB2312"/>
          <w:sz w:val="32"/>
          <w:szCs w:val="32"/>
        </w:rPr>
        <w:t>15866.50</w:t>
      </w:r>
      <w:r>
        <w:rPr>
          <w:rFonts w:ascii="仿宋_GB2312" w:eastAsia="仿宋_GB2312" w:hint="eastAsia"/>
          <w:sz w:val="32"/>
          <w:szCs w:val="32"/>
        </w:rPr>
        <w:t>万元增加</w:t>
      </w:r>
      <w:r w:rsidR="00530718">
        <w:rPr>
          <w:rFonts w:ascii="仿宋_GB2312" w:eastAsia="仿宋_GB2312" w:hint="eastAsia"/>
          <w:sz w:val="32"/>
          <w:szCs w:val="32"/>
        </w:rPr>
        <w:t>2012.78</w:t>
      </w:r>
      <w:r>
        <w:rPr>
          <w:rFonts w:ascii="仿宋_GB2312" w:eastAsia="仿宋_GB2312" w:hint="eastAsia"/>
          <w:sz w:val="32"/>
          <w:szCs w:val="32"/>
        </w:rPr>
        <w:t>万元，增长</w:t>
      </w:r>
      <w:r w:rsidR="00530718">
        <w:rPr>
          <w:rFonts w:ascii="仿宋_GB2312" w:eastAsia="仿宋_GB2312" w:hint="eastAsia"/>
          <w:sz w:val="32"/>
          <w:szCs w:val="32"/>
        </w:rPr>
        <w:t>12.</w:t>
      </w:r>
      <w:r w:rsidR="00E25B51">
        <w:rPr>
          <w:rFonts w:ascii="仿宋_GB2312" w:eastAsia="仿宋_GB2312" w:hint="eastAsia"/>
          <w:sz w:val="32"/>
          <w:szCs w:val="32"/>
        </w:rPr>
        <w:t>69</w:t>
      </w:r>
      <w:r>
        <w:rPr>
          <w:rFonts w:ascii="仿宋_GB2312" w:eastAsia="仿宋_GB2312" w:hint="eastAsia"/>
          <w:sz w:val="32"/>
          <w:szCs w:val="32"/>
        </w:rPr>
        <w:t>%。主要原因是</w:t>
      </w:r>
      <w:r w:rsidR="00530718">
        <w:rPr>
          <w:rFonts w:ascii="仿宋_GB2312" w:eastAsia="仿宋_GB2312" w:hint="eastAsia"/>
          <w:sz w:val="32"/>
          <w:szCs w:val="32"/>
        </w:rPr>
        <w:t>增加基建项目结转经费的支付</w:t>
      </w:r>
      <w:r>
        <w:rPr>
          <w:rFonts w:ascii="仿宋_GB2312" w:eastAsia="仿宋_GB2312" w:hint="eastAsia"/>
          <w:sz w:val="32"/>
          <w:szCs w:val="32"/>
        </w:rPr>
        <w:t>。</w:t>
      </w:r>
    </w:p>
    <w:p w:rsidR="007B6CE6" w:rsidRDefault="007B6CE6">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sidR="00E25B51">
        <w:rPr>
          <w:rFonts w:ascii="仿宋_GB2312" w:eastAsia="仿宋_GB2312"/>
          <w:sz w:val="32"/>
          <w:szCs w:val="32"/>
        </w:rPr>
        <w:t>8</w:t>
      </w:r>
      <w:r w:rsidR="00530718" w:rsidRPr="00530718">
        <w:rPr>
          <w:rFonts w:ascii="仿宋_GB2312" w:eastAsia="仿宋_GB2312"/>
          <w:sz w:val="32"/>
          <w:szCs w:val="32"/>
        </w:rPr>
        <w:t>04</w:t>
      </w:r>
      <w:r w:rsidR="00530718">
        <w:rPr>
          <w:rFonts w:ascii="仿宋_GB2312" w:eastAsia="仿宋_GB2312" w:hint="eastAsia"/>
          <w:sz w:val="32"/>
          <w:szCs w:val="32"/>
        </w:rPr>
        <w:t>5.00</w:t>
      </w:r>
      <w:r>
        <w:rPr>
          <w:rFonts w:ascii="仿宋_GB2312" w:eastAsia="仿宋_GB2312" w:hint="eastAsia"/>
          <w:sz w:val="32"/>
          <w:szCs w:val="32"/>
        </w:rPr>
        <w:t>万元，占总支出预算</w:t>
      </w:r>
      <w:r w:rsidR="00530718">
        <w:rPr>
          <w:rFonts w:ascii="仿宋_GB2312" w:eastAsia="仿宋_GB2312" w:hint="eastAsia"/>
          <w:sz w:val="32"/>
          <w:szCs w:val="32"/>
        </w:rPr>
        <w:t>45.00</w:t>
      </w:r>
      <w:r>
        <w:rPr>
          <w:rFonts w:ascii="仿宋_GB2312" w:eastAsia="仿宋_GB2312" w:hint="eastAsia"/>
          <w:sz w:val="32"/>
          <w:szCs w:val="32"/>
        </w:rPr>
        <w:t>%，比2024年年初预算数</w:t>
      </w:r>
      <w:r w:rsidR="00530718">
        <w:rPr>
          <w:rFonts w:ascii="仿宋_GB2312" w:eastAsia="仿宋_GB2312"/>
          <w:sz w:val="32"/>
          <w:szCs w:val="32"/>
        </w:rPr>
        <w:t>7397.5</w:t>
      </w:r>
      <w:r w:rsidR="00530718">
        <w:rPr>
          <w:rFonts w:ascii="仿宋_GB2312" w:eastAsia="仿宋_GB2312" w:hint="eastAsia"/>
          <w:sz w:val="32"/>
          <w:szCs w:val="32"/>
        </w:rPr>
        <w:t>8</w:t>
      </w:r>
      <w:r>
        <w:rPr>
          <w:rFonts w:ascii="仿宋_GB2312" w:eastAsia="仿宋_GB2312" w:hint="eastAsia"/>
          <w:sz w:val="32"/>
          <w:szCs w:val="32"/>
        </w:rPr>
        <w:t>万元增加</w:t>
      </w:r>
      <w:r w:rsidR="00530718">
        <w:rPr>
          <w:rFonts w:ascii="仿宋_GB2312" w:eastAsia="仿宋_GB2312" w:hint="eastAsia"/>
          <w:sz w:val="32"/>
          <w:szCs w:val="32"/>
        </w:rPr>
        <w:t>647.42</w:t>
      </w:r>
      <w:r>
        <w:rPr>
          <w:rFonts w:ascii="仿宋_GB2312" w:eastAsia="仿宋_GB2312" w:hint="eastAsia"/>
          <w:sz w:val="32"/>
          <w:szCs w:val="32"/>
        </w:rPr>
        <w:t>万元，增长</w:t>
      </w:r>
      <w:r w:rsidR="00530718">
        <w:rPr>
          <w:rFonts w:ascii="仿宋_GB2312" w:eastAsia="仿宋_GB2312" w:hint="eastAsia"/>
          <w:sz w:val="32"/>
          <w:szCs w:val="32"/>
        </w:rPr>
        <w:t>8.75</w:t>
      </w:r>
      <w:r>
        <w:rPr>
          <w:rFonts w:ascii="仿宋_GB2312" w:eastAsia="仿宋_GB2312" w:hint="eastAsia"/>
          <w:sz w:val="32"/>
          <w:szCs w:val="32"/>
        </w:rPr>
        <w:t>%。</w:t>
      </w:r>
    </w:p>
    <w:p w:rsidR="007B6CE6" w:rsidRDefault="007B6CE6">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sidR="00E25B51">
        <w:rPr>
          <w:rFonts w:ascii="仿宋_GB2312" w:eastAsia="仿宋_GB2312"/>
          <w:sz w:val="32"/>
          <w:szCs w:val="32"/>
        </w:rPr>
        <w:t>9</w:t>
      </w:r>
      <w:r w:rsidR="00530718" w:rsidRPr="00530718">
        <w:rPr>
          <w:rFonts w:ascii="仿宋_GB2312" w:eastAsia="仿宋_GB2312"/>
          <w:sz w:val="32"/>
          <w:szCs w:val="32"/>
        </w:rPr>
        <w:t>829.52</w:t>
      </w:r>
      <w:r>
        <w:rPr>
          <w:rFonts w:ascii="仿宋_GB2312" w:eastAsia="仿宋_GB2312" w:hint="eastAsia"/>
          <w:sz w:val="32"/>
          <w:szCs w:val="32"/>
        </w:rPr>
        <w:t>万元，比2024年年初预算数</w:t>
      </w:r>
      <w:r w:rsidR="00530718">
        <w:rPr>
          <w:rFonts w:ascii="仿宋_GB2312" w:eastAsia="仿宋_GB2312"/>
          <w:sz w:val="32"/>
          <w:szCs w:val="32"/>
        </w:rPr>
        <w:t>8468.92</w:t>
      </w:r>
      <w:r>
        <w:rPr>
          <w:rFonts w:ascii="仿宋_GB2312" w:eastAsia="仿宋_GB2312" w:hint="eastAsia"/>
          <w:sz w:val="32"/>
          <w:szCs w:val="32"/>
        </w:rPr>
        <w:t>万元增加</w:t>
      </w:r>
      <w:r w:rsidR="00530718">
        <w:rPr>
          <w:rFonts w:ascii="仿宋_GB2312" w:eastAsia="仿宋_GB2312" w:hint="eastAsia"/>
          <w:sz w:val="32"/>
          <w:szCs w:val="32"/>
        </w:rPr>
        <w:t>1360.6</w:t>
      </w:r>
      <w:r>
        <w:rPr>
          <w:rFonts w:ascii="仿宋_GB2312" w:eastAsia="仿宋_GB2312" w:hint="eastAsia"/>
          <w:sz w:val="32"/>
          <w:szCs w:val="32"/>
        </w:rPr>
        <w:t>万元，增长</w:t>
      </w:r>
      <w:r w:rsidR="00530718">
        <w:rPr>
          <w:rFonts w:ascii="仿宋_GB2312" w:eastAsia="仿宋_GB2312" w:hint="eastAsia"/>
          <w:sz w:val="32"/>
          <w:szCs w:val="32"/>
        </w:rPr>
        <w:t>16.07</w:t>
      </w:r>
      <w:r>
        <w:rPr>
          <w:rFonts w:ascii="仿宋_GB2312" w:eastAsia="仿宋_GB2312" w:hint="eastAsia"/>
          <w:sz w:val="32"/>
          <w:szCs w:val="32"/>
        </w:rPr>
        <w:t>%。</w:t>
      </w:r>
      <w:r>
        <w:rPr>
          <w:rFonts w:ascii="仿宋_GB2312" w:eastAsia="仿宋_GB2312" w:hint="eastAsia"/>
          <w:sz w:val="32"/>
          <w:szCs w:val="32"/>
        </w:rPr>
        <w:lastRenderedPageBreak/>
        <w:t>其中：</w:t>
      </w:r>
    </w:p>
    <w:p w:rsidR="007B6CE6" w:rsidRDefault="007B6CE6">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sidR="00530718">
        <w:rPr>
          <w:rFonts w:ascii="仿宋_GB2312" w:eastAsia="仿宋_GB2312" w:hint="eastAsia"/>
          <w:sz w:val="32"/>
          <w:szCs w:val="32"/>
        </w:rPr>
        <w:t>0</w:t>
      </w:r>
      <w:r>
        <w:rPr>
          <w:rFonts w:ascii="仿宋_GB2312" w:eastAsia="仿宋_GB2312" w:hint="eastAsia"/>
          <w:sz w:val="32"/>
          <w:szCs w:val="32"/>
        </w:rPr>
        <w:t>万元。</w:t>
      </w:r>
    </w:p>
    <w:p w:rsidR="007B6CE6" w:rsidRDefault="007B6CE6">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sidR="00530718">
        <w:rPr>
          <w:rFonts w:ascii="仿宋_GB2312" w:eastAsia="仿宋_GB2312" w:hint="eastAsia"/>
          <w:sz w:val="32"/>
          <w:szCs w:val="32"/>
        </w:rPr>
        <w:t>0</w:t>
      </w:r>
      <w:r>
        <w:rPr>
          <w:rFonts w:ascii="仿宋_GB2312" w:eastAsia="仿宋_GB2312" w:hint="eastAsia"/>
          <w:sz w:val="32"/>
          <w:szCs w:val="32"/>
        </w:rPr>
        <w:t>万元。</w:t>
      </w:r>
    </w:p>
    <w:p w:rsidR="007B6CE6" w:rsidRDefault="007B6CE6">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w:t>
      </w:r>
      <w:r w:rsidR="00530718">
        <w:rPr>
          <w:rFonts w:ascii="仿宋_GB2312" w:eastAsia="仿宋_GB2312" w:hint="eastAsia"/>
          <w:sz w:val="32"/>
          <w:szCs w:val="32"/>
        </w:rPr>
        <w:t>0</w:t>
      </w:r>
      <w:r>
        <w:rPr>
          <w:rFonts w:ascii="仿宋_GB2312" w:eastAsia="仿宋_GB2312" w:hint="eastAsia"/>
          <w:sz w:val="32"/>
          <w:szCs w:val="32"/>
        </w:rPr>
        <w:t>万元。</w:t>
      </w:r>
    </w:p>
    <w:p w:rsidR="00881EC9" w:rsidRDefault="00881EC9">
      <w:pPr>
        <w:pStyle w:val="2"/>
        <w:ind w:firstLine="642"/>
        <w:jc w:val="center"/>
        <w:rPr>
          <w:rFonts w:ascii="仿宋_GB2312" w:eastAsia="仿宋_GB2312"/>
          <w:sz w:val="32"/>
        </w:rPr>
      </w:pPr>
      <w:r w:rsidRPr="00881EC9">
        <w:rPr>
          <w:rFonts w:ascii="仿宋_GB2312" w:eastAsia="仿宋_GB2312"/>
          <w:noProof/>
          <w:sz w:val="32"/>
        </w:rPr>
        <w:drawing>
          <wp:inline distT="0" distB="0" distL="0" distR="0">
            <wp:extent cx="3790950" cy="2518410"/>
            <wp:effectExtent l="19050" t="0" r="19050" b="0"/>
            <wp:docPr id="8" name="对象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B6CE6" w:rsidRDefault="007B6CE6">
      <w:pPr>
        <w:pStyle w:val="2"/>
        <w:ind w:firstLine="642"/>
        <w:jc w:val="center"/>
        <w:rPr>
          <w:sz w:val="32"/>
        </w:rPr>
      </w:pPr>
      <w:r>
        <w:rPr>
          <w:rFonts w:ascii="仿宋_GB2312" w:eastAsia="仿宋_GB2312" w:hint="eastAsia"/>
          <w:sz w:val="32"/>
        </w:rPr>
        <w:t>图2：基本支出和项目支出情况</w:t>
      </w:r>
    </w:p>
    <w:p w:rsidR="007B6CE6" w:rsidRDefault="007B6CE6">
      <w:pPr>
        <w:numPr>
          <w:ilvl w:val="0"/>
          <w:numId w:val="2"/>
        </w:numPr>
        <w:spacing w:line="56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w:t>
      </w:r>
      <w:r w:rsidR="008B660B">
        <w:rPr>
          <w:rFonts w:ascii="楷体_GB2312" w:eastAsia="楷体_GB2312" w:hAnsi="楷体_GB2312" w:cs="楷体_GB2312" w:hint="eastAsia"/>
          <w:color w:val="000000"/>
          <w:sz w:val="32"/>
          <w:szCs w:val="32"/>
        </w:rPr>
        <w:t>4.76</w:t>
      </w:r>
      <w:r>
        <w:rPr>
          <w:rFonts w:ascii="楷体_GB2312" w:eastAsia="楷体_GB2312" w:hAnsi="楷体_GB2312" w:cs="楷体_GB2312" w:hint="eastAsia"/>
          <w:color w:val="000000"/>
          <w:sz w:val="32"/>
          <w:szCs w:val="32"/>
        </w:rPr>
        <w:t>万元</w:t>
      </w:r>
    </w:p>
    <w:p w:rsidR="007B6CE6" w:rsidRDefault="007B6CE6" w:rsidP="00842998">
      <w:pPr>
        <w:spacing w:line="560" w:lineRule="exact"/>
        <w:ind w:firstLineChars="200" w:firstLine="640"/>
        <w:rPr>
          <w:rFonts w:ascii="楷体_GB2312" w:eastAsia="楷体_GB2312" w:cs="楷体_GB2312"/>
          <w:sz w:val="32"/>
          <w:szCs w:val="32"/>
        </w:rPr>
      </w:pPr>
      <w:r>
        <w:rPr>
          <w:rFonts w:ascii="黑体" w:eastAsia="黑体" w:hint="eastAsia"/>
          <w:sz w:val="32"/>
          <w:szCs w:val="32"/>
        </w:rPr>
        <w:t>四、财政拨款“三公”经费预算情况说明</w:t>
      </w:r>
    </w:p>
    <w:p w:rsidR="007B6CE6" w:rsidRDefault="007B6CE6">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842998" w:rsidRDefault="00842998" w:rsidP="00842998">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北京市统计局（本级）因公出国（境）费用、公务接待费、公务用车购置和运行维护费开支单位只包括北京市统计局（行政）。其他单位2025年无财政拨款安排的“三公”经费预算。</w:t>
      </w:r>
    </w:p>
    <w:p w:rsidR="007B6CE6" w:rsidRDefault="007B6CE6">
      <w:pPr>
        <w:spacing w:line="560" w:lineRule="exact"/>
        <w:ind w:firstLineChars="200" w:firstLine="640"/>
        <w:rPr>
          <w:rFonts w:ascii="楷体_GB2312" w:eastAsia="楷体_GB2312"/>
          <w:sz w:val="32"/>
          <w:szCs w:val="32"/>
        </w:rPr>
      </w:pPr>
      <w:r>
        <w:rPr>
          <w:rFonts w:ascii="楷体_GB2312" w:eastAsia="楷体_GB2312" w:hint="eastAsia"/>
          <w:sz w:val="32"/>
          <w:szCs w:val="32"/>
        </w:rPr>
        <w:t>（二）财政拨款“三公”经费预算情况说明</w:t>
      </w:r>
    </w:p>
    <w:p w:rsidR="007B6CE6" w:rsidRDefault="007B6CE6">
      <w:pPr>
        <w:spacing w:line="560" w:lineRule="exact"/>
        <w:ind w:firstLineChars="200" w:firstLine="640"/>
        <w:rPr>
          <w:rFonts w:ascii="仿宋_GB2312" w:eastAsia="仿宋_GB2312"/>
          <w:sz w:val="32"/>
          <w:szCs w:val="32"/>
        </w:rPr>
      </w:pPr>
      <w:r>
        <w:rPr>
          <w:rFonts w:ascii="仿宋_GB2312" w:eastAsia="仿宋_GB2312" w:hint="eastAsia"/>
          <w:sz w:val="32"/>
          <w:szCs w:val="32"/>
        </w:rPr>
        <w:t>2025年财政拨款“三公”经费预算</w:t>
      </w:r>
      <w:r w:rsidR="00842998">
        <w:rPr>
          <w:rFonts w:ascii="仿宋_GB2312" w:eastAsia="仿宋_GB2312"/>
          <w:sz w:val="32"/>
          <w:szCs w:val="32"/>
        </w:rPr>
        <w:t>101.6</w:t>
      </w:r>
      <w:r w:rsidR="00842998">
        <w:rPr>
          <w:rFonts w:ascii="仿宋_GB2312" w:eastAsia="仿宋_GB2312" w:hint="eastAsia"/>
          <w:sz w:val="32"/>
          <w:szCs w:val="32"/>
        </w:rPr>
        <w:t>6</w:t>
      </w:r>
      <w:r>
        <w:rPr>
          <w:rFonts w:ascii="仿宋_GB2312" w:eastAsia="仿宋_GB2312" w:hint="eastAsia"/>
          <w:sz w:val="32"/>
          <w:szCs w:val="32"/>
        </w:rPr>
        <w:t>万元，比2024年财政拨款“三公”经费预算减少</w:t>
      </w:r>
      <w:r w:rsidR="00842998">
        <w:rPr>
          <w:rFonts w:ascii="仿宋_GB2312" w:eastAsia="仿宋_GB2312" w:hint="eastAsia"/>
          <w:sz w:val="32"/>
          <w:szCs w:val="32"/>
        </w:rPr>
        <w:t>4</w:t>
      </w:r>
      <w:r>
        <w:rPr>
          <w:rFonts w:ascii="仿宋_GB2312" w:eastAsia="仿宋_GB2312" w:hint="eastAsia"/>
          <w:sz w:val="32"/>
          <w:szCs w:val="32"/>
        </w:rPr>
        <w:t>万元。其中：</w:t>
      </w:r>
    </w:p>
    <w:p w:rsidR="00842998" w:rsidRDefault="00842998" w:rsidP="00842998">
      <w:pPr>
        <w:spacing w:line="540" w:lineRule="exact"/>
        <w:ind w:firstLineChars="200" w:firstLine="640"/>
        <w:rPr>
          <w:rFonts w:ascii="仿宋_GB2312" w:eastAsia="仿宋_GB2312"/>
          <w:sz w:val="32"/>
          <w:szCs w:val="32"/>
        </w:rPr>
      </w:pPr>
      <w:r>
        <w:rPr>
          <w:rFonts w:ascii="仿宋_GB2312" w:eastAsia="仿宋_GB2312" w:hint="eastAsia"/>
          <w:sz w:val="32"/>
          <w:szCs w:val="32"/>
        </w:rPr>
        <w:t>1.因公出国（境）费用。2025年预算数</w:t>
      </w:r>
      <w:r>
        <w:rPr>
          <w:rFonts w:ascii="仿宋_GB2312" w:eastAsia="仿宋_GB2312" w:hint="eastAsia"/>
          <w:color w:val="000000"/>
          <w:sz w:val="32"/>
          <w:szCs w:val="32"/>
          <w:shd w:val="clear" w:color="auto" w:fill="FFFFFF"/>
        </w:rPr>
        <w:t>50.22</w:t>
      </w:r>
      <w:r>
        <w:rPr>
          <w:rFonts w:ascii="仿宋_GB2312" w:eastAsia="仿宋_GB2312" w:hint="eastAsia"/>
          <w:sz w:val="32"/>
          <w:szCs w:val="32"/>
        </w:rPr>
        <w:t>万元，与</w:t>
      </w:r>
      <w:r>
        <w:rPr>
          <w:rFonts w:ascii="仿宋_GB2312" w:eastAsia="仿宋_GB2312" w:hint="eastAsia"/>
          <w:sz w:val="32"/>
          <w:szCs w:val="32"/>
        </w:rPr>
        <w:lastRenderedPageBreak/>
        <w:t>2024年年初预算数</w:t>
      </w:r>
      <w:r>
        <w:rPr>
          <w:rFonts w:ascii="仿宋_GB2312" w:eastAsia="仿宋_GB2312" w:hint="eastAsia"/>
          <w:color w:val="000000"/>
          <w:sz w:val="32"/>
          <w:szCs w:val="32"/>
          <w:shd w:val="clear" w:color="auto" w:fill="FFFFFF"/>
        </w:rPr>
        <w:t>50.22</w:t>
      </w:r>
      <w:r>
        <w:rPr>
          <w:rFonts w:ascii="仿宋_GB2312" w:eastAsia="仿宋_GB2312" w:hint="eastAsia"/>
          <w:sz w:val="32"/>
          <w:szCs w:val="32"/>
        </w:rPr>
        <w:t>万元持平。</w:t>
      </w:r>
    </w:p>
    <w:p w:rsidR="00842998" w:rsidRDefault="00842998" w:rsidP="00842998">
      <w:pPr>
        <w:spacing w:line="540" w:lineRule="exact"/>
        <w:ind w:firstLineChars="200" w:firstLine="640"/>
        <w:rPr>
          <w:rFonts w:ascii="仿宋_GB2312" w:eastAsia="仿宋_GB2312"/>
          <w:sz w:val="32"/>
          <w:szCs w:val="32"/>
        </w:rPr>
      </w:pPr>
      <w:r>
        <w:rPr>
          <w:rFonts w:ascii="仿宋_GB2312" w:eastAsia="仿宋_GB2312" w:hint="eastAsia"/>
          <w:sz w:val="32"/>
          <w:szCs w:val="32"/>
        </w:rPr>
        <w:t>2.公务接待费。2025年预算数1.18万元，与2024年年初预算数1.18万元持平。</w:t>
      </w:r>
    </w:p>
    <w:p w:rsidR="00842998" w:rsidRDefault="00842998" w:rsidP="00842998">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3.公务用车购置和运行维护费。2025年预算数</w:t>
      </w:r>
      <w:r w:rsidR="00171BAA">
        <w:rPr>
          <w:rFonts w:ascii="仿宋_GB2312" w:eastAsia="仿宋_GB2312" w:hint="eastAsia"/>
          <w:sz w:val="32"/>
          <w:szCs w:val="32"/>
        </w:rPr>
        <w:t>50.26</w:t>
      </w:r>
      <w:r>
        <w:rPr>
          <w:rFonts w:ascii="仿宋_GB2312" w:eastAsia="仿宋_GB2312" w:hint="eastAsia"/>
          <w:sz w:val="32"/>
          <w:szCs w:val="32"/>
        </w:rPr>
        <w:t>万元，包括：公务用车购置费2025年预算数0万元，与2024年年初预算数0万元持平；公务用车运行维护费2025年预算数</w:t>
      </w:r>
      <w:r w:rsidR="00171BAA">
        <w:rPr>
          <w:rFonts w:ascii="仿宋_GB2312" w:eastAsia="仿宋_GB2312" w:hint="eastAsia"/>
          <w:sz w:val="32"/>
          <w:szCs w:val="32"/>
        </w:rPr>
        <w:t>50.26</w:t>
      </w:r>
      <w:r>
        <w:rPr>
          <w:rFonts w:ascii="仿宋_GB2312" w:eastAsia="仿宋_GB2312" w:hint="eastAsia"/>
          <w:sz w:val="32"/>
          <w:szCs w:val="32"/>
        </w:rPr>
        <w:t>万元，其中：</w:t>
      </w:r>
      <w:r w:rsidR="00171BAA">
        <w:rPr>
          <w:rFonts w:ascii="仿宋_GB2312" w:eastAsia="仿宋_GB2312" w:hint="eastAsia"/>
          <w:sz w:val="32"/>
          <w:szCs w:val="32"/>
        </w:rPr>
        <w:t>公务用车加油19万元，公务用车维修11.39万元，公务用车保险11.39万元，其他支出8.48万元。</w:t>
      </w:r>
      <w:r>
        <w:rPr>
          <w:rFonts w:ascii="仿宋_GB2312" w:eastAsia="仿宋_GB2312" w:hint="eastAsia"/>
          <w:sz w:val="32"/>
          <w:szCs w:val="32"/>
        </w:rPr>
        <w:t>公务用车运行维护费2025年预算数比2024年年初预算数</w:t>
      </w:r>
      <w:r w:rsidR="00171BAA">
        <w:rPr>
          <w:rFonts w:ascii="仿宋_GB2312" w:eastAsia="仿宋_GB2312"/>
          <w:sz w:val="32"/>
          <w:szCs w:val="32"/>
        </w:rPr>
        <w:t>54.26</w:t>
      </w:r>
      <w:r>
        <w:rPr>
          <w:rFonts w:ascii="仿宋_GB2312" w:eastAsia="仿宋_GB2312" w:hint="eastAsia"/>
          <w:sz w:val="32"/>
          <w:szCs w:val="32"/>
        </w:rPr>
        <w:t>万元减少</w:t>
      </w:r>
      <w:r w:rsidR="00171BAA">
        <w:rPr>
          <w:rFonts w:ascii="仿宋_GB2312" w:eastAsia="仿宋_GB2312" w:hint="eastAsia"/>
          <w:sz w:val="32"/>
          <w:szCs w:val="32"/>
        </w:rPr>
        <w:t>4</w:t>
      </w:r>
      <w:r>
        <w:rPr>
          <w:rFonts w:ascii="仿宋_GB2312" w:eastAsia="仿宋_GB2312" w:hint="eastAsia"/>
          <w:sz w:val="32"/>
          <w:szCs w:val="32"/>
        </w:rPr>
        <w:t>万元，主要原因：落实政府“过紧日子”要求，进一步压减一般性支出。</w:t>
      </w:r>
    </w:p>
    <w:p w:rsidR="007B6CE6" w:rsidRDefault="007B6CE6" w:rsidP="00842998">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7B6CE6" w:rsidRDefault="007B6CE6">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3640E6" w:rsidRDefault="003640E6" w:rsidP="003640E6">
      <w:pPr>
        <w:spacing w:line="540" w:lineRule="exact"/>
        <w:ind w:firstLineChars="200" w:firstLine="640"/>
        <w:rPr>
          <w:rFonts w:ascii="仿宋_GB2312" w:eastAsia="仿宋_GB2312"/>
          <w:sz w:val="32"/>
          <w:szCs w:val="32"/>
        </w:rPr>
      </w:pPr>
      <w:r>
        <w:rPr>
          <w:rFonts w:ascii="仿宋_GB2312" w:eastAsia="仿宋_GB2312" w:hint="eastAsia"/>
          <w:sz w:val="32"/>
          <w:szCs w:val="32"/>
        </w:rPr>
        <w:t>202</w:t>
      </w:r>
      <w:r w:rsidR="00926FDF">
        <w:rPr>
          <w:rFonts w:ascii="仿宋_GB2312" w:eastAsia="仿宋_GB2312" w:hint="eastAsia"/>
          <w:sz w:val="32"/>
          <w:szCs w:val="32"/>
        </w:rPr>
        <w:t>5</w:t>
      </w:r>
      <w:r>
        <w:rPr>
          <w:rFonts w:ascii="仿宋_GB2312" w:eastAsia="仿宋_GB2312" w:hint="eastAsia"/>
          <w:sz w:val="32"/>
          <w:szCs w:val="32"/>
        </w:rPr>
        <w:t>年</w:t>
      </w:r>
      <w:r>
        <w:rPr>
          <w:rFonts w:ascii="仿宋_GB2312" w:eastAsia="仿宋_GB2312" w:hint="eastAsia"/>
          <w:color w:val="000000"/>
          <w:sz w:val="32"/>
          <w:szCs w:val="32"/>
        </w:rPr>
        <w:t>北京市统计局(本级)</w:t>
      </w:r>
      <w:r>
        <w:rPr>
          <w:rFonts w:ascii="仿宋_GB2312" w:eastAsia="仿宋_GB2312" w:hint="eastAsia"/>
          <w:sz w:val="32"/>
          <w:szCs w:val="32"/>
        </w:rPr>
        <w:t>政府采购预算总额</w:t>
      </w:r>
      <w:r w:rsidR="00E25B51">
        <w:rPr>
          <w:rFonts w:ascii="仿宋_GB2312" w:eastAsia="仿宋_GB2312"/>
          <w:sz w:val="32"/>
          <w:szCs w:val="32"/>
        </w:rPr>
        <w:t>2</w:t>
      </w:r>
      <w:r w:rsidR="00926FDF" w:rsidRPr="00926FDF">
        <w:rPr>
          <w:rFonts w:ascii="仿宋_GB2312" w:eastAsia="仿宋_GB2312"/>
          <w:sz w:val="32"/>
          <w:szCs w:val="32"/>
        </w:rPr>
        <w:t>453.60</w:t>
      </w:r>
      <w:r>
        <w:rPr>
          <w:rFonts w:ascii="仿宋_GB2312" w:eastAsia="仿宋_GB2312" w:hint="eastAsia"/>
          <w:sz w:val="32"/>
          <w:szCs w:val="32"/>
        </w:rPr>
        <w:t>万元，其中：政府采购货物预算</w:t>
      </w:r>
      <w:r w:rsidR="00926FDF" w:rsidRPr="00926FDF">
        <w:rPr>
          <w:rFonts w:ascii="仿宋_GB2312" w:eastAsia="仿宋_GB2312"/>
          <w:sz w:val="32"/>
          <w:szCs w:val="32"/>
        </w:rPr>
        <w:t>691.46</w:t>
      </w:r>
      <w:r>
        <w:rPr>
          <w:rFonts w:ascii="仿宋_GB2312" w:eastAsia="仿宋_GB2312" w:hint="eastAsia"/>
          <w:sz w:val="32"/>
          <w:szCs w:val="32"/>
        </w:rPr>
        <w:t>万元，政府采购工程预算0万元，政府采购服务预算</w:t>
      </w:r>
      <w:r w:rsidR="00E25B51">
        <w:rPr>
          <w:rFonts w:ascii="仿宋_GB2312" w:eastAsia="仿宋_GB2312"/>
          <w:sz w:val="32"/>
          <w:szCs w:val="32"/>
        </w:rPr>
        <w:t>1</w:t>
      </w:r>
      <w:r w:rsidR="00926FDF" w:rsidRPr="00926FDF">
        <w:rPr>
          <w:rFonts w:ascii="仿宋_GB2312" w:eastAsia="仿宋_GB2312"/>
          <w:sz w:val="32"/>
          <w:szCs w:val="32"/>
        </w:rPr>
        <w:t>762.14</w:t>
      </w:r>
      <w:r>
        <w:rPr>
          <w:rFonts w:ascii="仿宋_GB2312" w:eastAsia="仿宋_GB2312" w:hint="eastAsia"/>
          <w:sz w:val="32"/>
          <w:szCs w:val="32"/>
        </w:rPr>
        <w:t>万元。</w:t>
      </w:r>
    </w:p>
    <w:p w:rsidR="007B6CE6" w:rsidRDefault="007B6CE6">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7B6CE6" w:rsidRDefault="007B6CE6">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2025年</w:t>
      </w:r>
      <w:r w:rsidR="00926FDF">
        <w:rPr>
          <w:rFonts w:ascii="仿宋_GB2312" w:eastAsia="仿宋_GB2312" w:hint="eastAsia"/>
          <w:color w:val="000000"/>
          <w:sz w:val="32"/>
          <w:szCs w:val="32"/>
        </w:rPr>
        <w:t>北京市统计局(本级)</w:t>
      </w:r>
      <w:r>
        <w:rPr>
          <w:rFonts w:ascii="仿宋_GB2312" w:eastAsia="仿宋_GB2312" w:hint="eastAsia"/>
          <w:color w:val="000000"/>
          <w:sz w:val="32"/>
          <w:szCs w:val="32"/>
        </w:rPr>
        <w:t>政府购买服务预算总额</w:t>
      </w:r>
      <w:r w:rsidR="00E25B51">
        <w:rPr>
          <w:rFonts w:ascii="仿宋_GB2312" w:eastAsia="仿宋_GB2312"/>
          <w:color w:val="000000"/>
          <w:sz w:val="32"/>
          <w:szCs w:val="32"/>
        </w:rPr>
        <w:t>2</w:t>
      </w:r>
      <w:r w:rsidR="00926FDF" w:rsidRPr="00926FDF">
        <w:rPr>
          <w:rFonts w:ascii="仿宋_GB2312" w:eastAsia="仿宋_GB2312"/>
          <w:color w:val="000000"/>
          <w:sz w:val="32"/>
          <w:szCs w:val="32"/>
        </w:rPr>
        <w:t>043.53</w:t>
      </w:r>
      <w:r>
        <w:rPr>
          <w:rFonts w:ascii="仿宋_GB2312" w:eastAsia="仿宋_GB2312" w:hint="eastAsia"/>
          <w:color w:val="000000"/>
          <w:sz w:val="32"/>
          <w:szCs w:val="32"/>
        </w:rPr>
        <w:t>万元。</w:t>
      </w:r>
    </w:p>
    <w:p w:rsidR="007B6CE6" w:rsidRDefault="007B6CE6">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926FDF" w:rsidRDefault="00926FDF" w:rsidP="00926FDF">
      <w:pPr>
        <w:spacing w:line="540" w:lineRule="exact"/>
        <w:ind w:firstLineChars="200" w:firstLine="640"/>
        <w:rPr>
          <w:rFonts w:ascii="仿宋_GB2312" w:eastAsia="仿宋_GB2312"/>
          <w:color w:val="000000"/>
          <w:sz w:val="32"/>
          <w:szCs w:val="32"/>
        </w:rPr>
      </w:pPr>
      <w:r>
        <w:rPr>
          <w:rFonts w:ascii="仿宋_GB2312" w:eastAsia="仿宋_GB2312" w:hint="eastAsia"/>
          <w:sz w:val="32"/>
          <w:szCs w:val="32"/>
        </w:rPr>
        <w:t>2025年北京市统计局（本级）单位含北京市统计局（本级）1家行政单位以及</w:t>
      </w:r>
      <w:r>
        <w:rPr>
          <w:rFonts w:ascii="仿宋_GB2312" w:eastAsia="仿宋_GB2312" w:hAnsi="楷体" w:hint="eastAsia"/>
          <w:sz w:val="32"/>
          <w:szCs w:val="32"/>
        </w:rPr>
        <w:t>北京市统计局普查中心</w:t>
      </w:r>
      <w:r>
        <w:rPr>
          <w:rFonts w:ascii="仿宋_GB2312" w:eastAsia="仿宋_GB2312" w:hint="eastAsia"/>
          <w:sz w:val="32"/>
          <w:szCs w:val="32"/>
        </w:rPr>
        <w:t>1家参公管理事业单位的机关运行经费财政拨款预算522.56万元。</w:t>
      </w:r>
    </w:p>
    <w:p w:rsidR="007B6CE6" w:rsidRDefault="007B6CE6">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926FDF" w:rsidRDefault="00926FDF">
      <w:pPr>
        <w:spacing w:line="560" w:lineRule="exact"/>
        <w:ind w:firstLineChars="200" w:firstLine="640"/>
        <w:rPr>
          <w:rFonts w:ascii="仿宋_GB2312" w:eastAsia="仿宋_GB2312"/>
          <w:sz w:val="32"/>
          <w:szCs w:val="32"/>
        </w:rPr>
      </w:pPr>
      <w:r>
        <w:rPr>
          <w:rFonts w:ascii="仿宋_GB2312" w:eastAsia="仿宋_GB2312" w:hint="eastAsia"/>
          <w:sz w:val="32"/>
          <w:szCs w:val="32"/>
        </w:rPr>
        <w:t>2025年，北京市统计局（行政）填报绩效目标的预算项</w:t>
      </w:r>
      <w:r>
        <w:rPr>
          <w:rFonts w:ascii="仿宋_GB2312" w:eastAsia="仿宋_GB2312" w:hint="eastAsia"/>
          <w:sz w:val="32"/>
          <w:szCs w:val="32"/>
        </w:rPr>
        <w:lastRenderedPageBreak/>
        <w:t>目21个，占全部预算项目21个的100%。填报绩效目标的项目支出预算</w:t>
      </w:r>
      <w:r w:rsidR="00881EC9" w:rsidRPr="00881EC9">
        <w:rPr>
          <w:rFonts w:ascii="仿宋_GB2312" w:eastAsia="仿宋_GB2312"/>
          <w:sz w:val="32"/>
          <w:szCs w:val="32"/>
        </w:rPr>
        <w:t>9829.52</w:t>
      </w:r>
      <w:r>
        <w:rPr>
          <w:rFonts w:ascii="仿宋_GB2312" w:eastAsia="仿宋_GB2312" w:hint="eastAsia"/>
          <w:sz w:val="32"/>
          <w:szCs w:val="32"/>
        </w:rPr>
        <w:t>万元，占本部门全部项目支出预算的100%。</w:t>
      </w:r>
    </w:p>
    <w:p w:rsidR="007B6CE6" w:rsidRDefault="007B6CE6">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926FDF" w:rsidRDefault="00926FDF" w:rsidP="00926FDF">
      <w:pPr>
        <w:spacing w:line="540" w:lineRule="exact"/>
        <w:ind w:firstLineChars="200" w:firstLine="640"/>
        <w:rPr>
          <w:rFonts w:ascii="仿宋_GB2312" w:eastAsia="仿宋_GB2312"/>
          <w:sz w:val="32"/>
          <w:szCs w:val="32"/>
        </w:rPr>
      </w:pPr>
      <w:r>
        <w:rPr>
          <w:rFonts w:ascii="仿宋_GB2312" w:eastAsia="仿宋_GB2312" w:hint="eastAsia"/>
          <w:sz w:val="32"/>
          <w:szCs w:val="32"/>
        </w:rPr>
        <w:t>本单位2025年无重点行政事业性收费。</w:t>
      </w:r>
    </w:p>
    <w:p w:rsidR="007B6CE6" w:rsidRDefault="007B6CE6">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926FDF" w:rsidRPr="00926FDF" w:rsidRDefault="00926FDF" w:rsidP="00926FDF">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本单位2025</w:t>
      </w:r>
      <w:r>
        <w:rPr>
          <w:rFonts w:ascii="仿宋_GB2312" w:eastAsia="仿宋_GB2312" w:hint="eastAsia"/>
          <w:color w:val="000000"/>
          <w:sz w:val="32"/>
          <w:szCs w:val="32"/>
        </w:rPr>
        <w:t>年无国有资本经营预算财政拨款安排的预算。</w:t>
      </w:r>
    </w:p>
    <w:p w:rsidR="007B6CE6" w:rsidRDefault="007B6CE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926FDF" w:rsidRDefault="00926FDF" w:rsidP="00926FDF">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截至2024年底，</w:t>
      </w:r>
      <w:r>
        <w:rPr>
          <w:rFonts w:ascii="仿宋_GB2312" w:eastAsia="仿宋_GB2312" w:hint="eastAsia"/>
          <w:sz w:val="32"/>
          <w:szCs w:val="32"/>
        </w:rPr>
        <w:t>北京市统计局（本级）</w:t>
      </w:r>
      <w:r>
        <w:rPr>
          <w:rFonts w:ascii="仿宋_GB2312" w:eastAsia="仿宋_GB2312" w:hint="eastAsia"/>
          <w:color w:val="000000"/>
          <w:sz w:val="32"/>
          <w:szCs w:val="32"/>
        </w:rPr>
        <w:t>共有车辆</w:t>
      </w:r>
      <w:r>
        <w:rPr>
          <w:rFonts w:ascii="仿宋_GB2312" w:eastAsia="仿宋_GB2312"/>
          <w:color w:val="000000"/>
          <w:sz w:val="32"/>
          <w:szCs w:val="32"/>
        </w:rPr>
        <w:t>39</w:t>
      </w:r>
      <w:r>
        <w:rPr>
          <w:rFonts w:ascii="仿宋_GB2312" w:eastAsia="仿宋_GB2312" w:hint="eastAsia"/>
          <w:color w:val="000000"/>
          <w:sz w:val="32"/>
          <w:szCs w:val="32"/>
        </w:rPr>
        <w:t>台，共计</w:t>
      </w:r>
      <w:r>
        <w:rPr>
          <w:rFonts w:ascii="仿宋_GB2312" w:eastAsia="仿宋_GB2312"/>
          <w:color w:val="000000"/>
          <w:sz w:val="32"/>
          <w:szCs w:val="32"/>
        </w:rPr>
        <w:t>698.37</w:t>
      </w:r>
      <w:r>
        <w:rPr>
          <w:rFonts w:ascii="仿宋_GB2312" w:eastAsia="仿宋_GB2312" w:hint="eastAsia"/>
          <w:color w:val="000000"/>
          <w:sz w:val="32"/>
          <w:szCs w:val="32"/>
        </w:rPr>
        <w:t>万元；单位价值50万元以上的设备</w:t>
      </w:r>
      <w:r w:rsidR="00881EC9">
        <w:rPr>
          <w:rFonts w:ascii="仿宋_GB2312" w:eastAsia="仿宋_GB2312" w:hint="eastAsia"/>
          <w:color w:val="000000"/>
          <w:sz w:val="32"/>
          <w:szCs w:val="32"/>
        </w:rPr>
        <w:t>28</w:t>
      </w:r>
      <w:r>
        <w:rPr>
          <w:rFonts w:ascii="仿宋_GB2312" w:eastAsia="仿宋_GB2312" w:hint="eastAsia"/>
          <w:color w:val="000000"/>
          <w:sz w:val="32"/>
          <w:szCs w:val="32"/>
        </w:rPr>
        <w:t>台（套）、共计</w:t>
      </w:r>
      <w:r w:rsidR="00881EC9">
        <w:rPr>
          <w:rFonts w:ascii="仿宋_GB2312" w:eastAsia="仿宋_GB2312" w:hint="eastAsia"/>
          <w:color w:val="000000"/>
          <w:sz w:val="32"/>
          <w:szCs w:val="32"/>
        </w:rPr>
        <w:t>6812.69</w:t>
      </w:r>
      <w:r>
        <w:rPr>
          <w:rFonts w:ascii="仿宋_GB2312" w:eastAsia="仿宋_GB2312" w:hint="eastAsia"/>
          <w:color w:val="000000"/>
          <w:sz w:val="32"/>
          <w:szCs w:val="32"/>
        </w:rPr>
        <w:t>万元。202</w:t>
      </w:r>
      <w:r w:rsidR="00EE1EDD">
        <w:rPr>
          <w:rFonts w:ascii="仿宋_GB2312" w:eastAsia="仿宋_GB2312" w:hint="eastAsia"/>
          <w:color w:val="000000"/>
          <w:sz w:val="32"/>
          <w:szCs w:val="32"/>
        </w:rPr>
        <w:t>5</w:t>
      </w:r>
      <w:r>
        <w:rPr>
          <w:rFonts w:ascii="仿宋_GB2312" w:eastAsia="仿宋_GB2312" w:hint="eastAsia"/>
          <w:color w:val="000000"/>
          <w:sz w:val="32"/>
          <w:szCs w:val="32"/>
        </w:rPr>
        <w:t>年预算安排中，购置单位价值50万元以上的设备0台（套），共计0万元。</w:t>
      </w:r>
    </w:p>
    <w:p w:rsidR="007B6CE6" w:rsidRDefault="007B6CE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（八）重点支出和重大投资项目情况说明</w:t>
      </w:r>
    </w:p>
    <w:p w:rsidR="007B6CE6" w:rsidRDefault="00926FD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2025年我单位无</w:t>
      </w:r>
      <w:r w:rsidRPr="00926FDF">
        <w:rPr>
          <w:rFonts w:ascii="仿宋_GB2312" w:eastAsia="仿宋_GB2312" w:hAnsi="仿宋_GB2312" w:cs="仿宋_GB2312" w:hint="eastAsia"/>
          <w:color w:val="000000"/>
          <w:sz w:val="32"/>
          <w:szCs w:val="32"/>
        </w:rPr>
        <w:t>重点支出和重大投资项目</w:t>
      </w:r>
      <w:r>
        <w:rPr>
          <w:rFonts w:ascii="仿宋_GB2312" w:eastAsia="仿宋_GB2312" w:hAnsi="仿宋_GB2312" w:cs="仿宋_GB2312" w:hint="eastAsia"/>
          <w:color w:val="000000"/>
          <w:sz w:val="32"/>
          <w:szCs w:val="32"/>
        </w:rPr>
        <w:t>。</w:t>
      </w:r>
    </w:p>
    <w:p w:rsidR="0052292E" w:rsidRDefault="007B6CE6" w:rsidP="0052292E">
      <w:pPr>
        <w:spacing w:line="540" w:lineRule="exact"/>
        <w:ind w:firstLineChars="200" w:firstLine="640"/>
        <w:rPr>
          <w:rFonts w:ascii="黑体" w:eastAsia="黑体"/>
          <w:color w:val="000000"/>
          <w:sz w:val="32"/>
          <w:szCs w:val="32"/>
        </w:rPr>
      </w:pPr>
      <w:r>
        <w:rPr>
          <w:rFonts w:ascii="黑体" w:eastAsia="黑体" w:hint="eastAsia"/>
          <w:color w:val="000000"/>
          <w:sz w:val="32"/>
          <w:szCs w:val="32"/>
        </w:rPr>
        <w:t>六、名词解释</w:t>
      </w:r>
    </w:p>
    <w:p w:rsidR="0052292E" w:rsidRDefault="0052292E" w:rsidP="0052292E">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52292E" w:rsidRDefault="0052292E" w:rsidP="0052292E">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52292E" w:rsidRDefault="0052292E" w:rsidP="0052292E">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52292E" w:rsidRDefault="0052292E" w:rsidP="0052292E">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w:t>
      </w:r>
      <w:r>
        <w:rPr>
          <w:rFonts w:ascii="仿宋_GB2312" w:eastAsia="仿宋_GB2312" w:hint="eastAsia"/>
          <w:color w:val="000000"/>
          <w:sz w:val="32"/>
          <w:szCs w:val="32"/>
        </w:rPr>
        <w:lastRenderedPageBreak/>
        <w:t>公及印刷费、邮电费、差旅费、会议费、福利费、日常维修费、专用材料及一般设备购置费、办公用房水电费、办公用房取暖费、办公用房物业管理费、公务用车运行维护费以及其他费用。</w:t>
      </w:r>
    </w:p>
    <w:p w:rsidR="0052292E" w:rsidRDefault="0052292E" w:rsidP="0052292E">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52292E" w:rsidRPr="0052292E" w:rsidRDefault="0052292E" w:rsidP="0052292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52292E" w:rsidRDefault="0052292E">
      <w:pPr>
        <w:spacing w:line="560" w:lineRule="exact"/>
        <w:jc w:val="center"/>
        <w:rPr>
          <w:rFonts w:ascii="方正小标宋简体" w:eastAsia="方正小标宋简体"/>
          <w:color w:val="000000"/>
          <w:sz w:val="36"/>
          <w:szCs w:val="36"/>
        </w:rPr>
      </w:pPr>
    </w:p>
    <w:p w:rsidR="007B6CE6" w:rsidRDefault="007B6CE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2025年度单位预算报表</w:t>
      </w:r>
    </w:p>
    <w:p w:rsidR="007B6CE6" w:rsidRDefault="007B6CE6">
      <w:pPr>
        <w:spacing w:line="560" w:lineRule="exact"/>
        <w:ind w:firstLineChars="200" w:firstLine="640"/>
        <w:jc w:val="left"/>
        <w:rPr>
          <w:rFonts w:ascii="仿宋_GB2312" w:eastAsia="仿宋_GB2312"/>
          <w:color w:val="000000"/>
          <w:sz w:val="32"/>
          <w:szCs w:val="32"/>
        </w:rPr>
      </w:pPr>
    </w:p>
    <w:p w:rsidR="007B6CE6" w:rsidRDefault="0052292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sz w:val="32"/>
          <w:szCs w:val="32"/>
        </w:rPr>
        <w:t>北京市统计局（本级）</w:t>
      </w:r>
      <w:r>
        <w:rPr>
          <w:rFonts w:ascii="仿宋_GB2312" w:eastAsia="仿宋_GB2312" w:hint="eastAsia"/>
          <w:color w:val="000000"/>
          <w:sz w:val="32"/>
          <w:szCs w:val="32"/>
        </w:rPr>
        <w:t>2025年度单位预算报表</w:t>
      </w:r>
    </w:p>
    <w:p w:rsidR="007B6CE6" w:rsidRDefault="007B6CE6">
      <w:pPr>
        <w:rPr>
          <w:rFonts w:ascii="仿宋_GB2312" w:eastAsia="仿宋_GB2312"/>
          <w:sz w:val="32"/>
          <w:szCs w:val="32"/>
        </w:rPr>
      </w:pPr>
      <w:bookmarkStart w:id="0" w:name="chaosong"/>
      <w:bookmarkEnd w:id="0"/>
    </w:p>
    <w:sectPr w:rsidR="007B6CE6" w:rsidSect="00B478B8">
      <w:footerReference w:type="default" r:id="rId9"/>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780" w:rsidRDefault="00D41780" w:rsidP="007B6CE6">
      <w:pPr>
        <w:ind w:firstLine="480"/>
      </w:pPr>
      <w:r>
        <w:separator/>
      </w:r>
    </w:p>
  </w:endnote>
  <w:endnote w:type="continuationSeparator" w:id="1">
    <w:p w:rsidR="00D41780" w:rsidRDefault="00D41780" w:rsidP="007B6CE6">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CE6" w:rsidRDefault="00062C29">
    <w:pPr>
      <w:pStyle w:val="a5"/>
      <w:jc w:val="right"/>
      <w:rPr>
        <w:rFonts w:ascii="宋体" w:hAnsi="宋体"/>
        <w:sz w:val="28"/>
        <w:szCs w:val="28"/>
      </w:rPr>
    </w:pPr>
    <w:r w:rsidRPr="00062C29">
      <w:rPr>
        <w:sz w:val="28"/>
      </w:rPr>
      <w:pict>
        <v:shapetype id="_x0000_t202" coordsize="21600,21600" o:spt="202" path="m,l,21600r21600,l21600,xe">
          <v:stroke joinstyle="miter"/>
          <v:path gradientshapeok="t" o:connecttype="rect"/>
        </v:shapetype>
        <v:shape id="文本框 1" o:spid="_x0000_s2050" type="#_x0000_t202" style="position:absolute;left:0;text-align:left;margin-left:728pt;margin-top:0;width:2in;height:2in;z-index:251658240;mso-wrap-style:none;mso-position-horizontal:outside;mso-position-horizontal-relative:margin" filled="f" stroked="f">
          <v:fill o:detectmouseclick="t"/>
          <v:textbox style="mso-fit-shape-to-text:t" inset="0,0,0,0">
            <w:txbxContent>
              <w:p w:rsidR="007B6CE6" w:rsidRDefault="00062C29">
                <w:pPr>
                  <w:pStyle w:val="a5"/>
                  <w:jc w:val="right"/>
                </w:pPr>
                <w:r>
                  <w:rPr>
                    <w:rFonts w:ascii="宋体" w:hAnsi="宋体"/>
                    <w:sz w:val="28"/>
                    <w:szCs w:val="28"/>
                  </w:rPr>
                  <w:fldChar w:fldCharType="begin"/>
                </w:r>
                <w:r w:rsidR="007B6CE6">
                  <w:rPr>
                    <w:rFonts w:ascii="宋体" w:hAnsi="宋体"/>
                    <w:sz w:val="28"/>
                    <w:szCs w:val="28"/>
                  </w:rPr>
                  <w:instrText>PAGE   \* MERGEFORMAT</w:instrText>
                </w:r>
                <w:r>
                  <w:rPr>
                    <w:rFonts w:ascii="宋体" w:hAnsi="宋体"/>
                    <w:sz w:val="28"/>
                    <w:szCs w:val="28"/>
                  </w:rPr>
                  <w:fldChar w:fldCharType="separate"/>
                </w:r>
                <w:r w:rsidR="00336AA4" w:rsidRPr="00336AA4">
                  <w:rPr>
                    <w:rFonts w:ascii="宋体" w:hAnsi="宋体"/>
                    <w:noProof/>
                    <w:sz w:val="28"/>
                    <w:szCs w:val="28"/>
                    <w:lang w:val="zh-CN"/>
                  </w:rPr>
                  <w:t>-</w:t>
                </w:r>
                <w:r w:rsidR="00336AA4">
                  <w:rPr>
                    <w:rFonts w:ascii="宋体" w:hAnsi="宋体"/>
                    <w:noProof/>
                    <w:sz w:val="28"/>
                    <w:szCs w:val="28"/>
                  </w:rPr>
                  <w:t xml:space="preserve"> 9 -</w:t>
                </w:r>
                <w:r>
                  <w:rPr>
                    <w:rFonts w:ascii="宋体" w:hAnsi="宋体"/>
                    <w:sz w:val="28"/>
                    <w:szCs w:val="28"/>
                  </w:rPr>
                  <w:fldChar w:fldCharType="end"/>
                </w:r>
              </w:p>
            </w:txbxContent>
          </v:textbox>
          <w10:wrap anchorx="margin"/>
        </v:shape>
      </w:pict>
    </w:r>
  </w:p>
  <w:p w:rsidR="007B6CE6" w:rsidRDefault="007B6CE6">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780" w:rsidRDefault="00D41780" w:rsidP="007B6CE6">
      <w:pPr>
        <w:ind w:firstLine="480"/>
      </w:pPr>
      <w:r>
        <w:separator/>
      </w:r>
    </w:p>
  </w:footnote>
  <w:footnote w:type="continuationSeparator" w:id="1">
    <w:p w:rsidR="00D41780" w:rsidRDefault="00D41780" w:rsidP="007B6CE6">
      <w:pPr>
        <w:ind w:firstLine="48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FFF0EF4"/>
    <w:multiLevelType w:val="singleLevel"/>
    <w:tmpl w:val="DFFF0EF4"/>
    <w:lvl w:ilvl="0">
      <w:start w:val="1"/>
      <w:numFmt w:val="chineseCounting"/>
      <w:suff w:val="nothing"/>
      <w:lvlText w:val="（%1）"/>
      <w:lvlJc w:val="left"/>
      <w:rPr>
        <w:rFonts w:hint="eastAsia"/>
      </w:rPr>
    </w:lvl>
  </w:abstractNum>
  <w:abstractNum w:abstractNumId="1">
    <w:nsid w:val="FF2E9D19"/>
    <w:multiLevelType w:val="singleLevel"/>
    <w:tmpl w:val="FF2E9D19"/>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536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7F79"/>
    <w:rsid w:val="923DB5D2"/>
    <w:rsid w:val="97EF9245"/>
    <w:rsid w:val="9B6FD390"/>
    <w:rsid w:val="9BFF5F19"/>
    <w:rsid w:val="9F75BF60"/>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D57FE1"/>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7FF22D7"/>
    <w:rsid w:val="E8FF6CA0"/>
    <w:rsid w:val="EB6F6027"/>
    <w:rsid w:val="EBBD09D3"/>
    <w:rsid w:val="ECBFB19E"/>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EE794A5"/>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F71D4"/>
    <w:rsid w:val="00062C29"/>
    <w:rsid w:val="0016318D"/>
    <w:rsid w:val="00171BAA"/>
    <w:rsid w:val="001D506E"/>
    <w:rsid w:val="00202A68"/>
    <w:rsid w:val="002277C1"/>
    <w:rsid w:val="0032325C"/>
    <w:rsid w:val="00336AA4"/>
    <w:rsid w:val="003640E6"/>
    <w:rsid w:val="0041319C"/>
    <w:rsid w:val="004A11CA"/>
    <w:rsid w:val="0052292E"/>
    <w:rsid w:val="00530718"/>
    <w:rsid w:val="00586057"/>
    <w:rsid w:val="006209CF"/>
    <w:rsid w:val="006F3CD8"/>
    <w:rsid w:val="0075056E"/>
    <w:rsid w:val="00797F79"/>
    <w:rsid w:val="007B6CE6"/>
    <w:rsid w:val="00842998"/>
    <w:rsid w:val="00881EC9"/>
    <w:rsid w:val="008A2E8D"/>
    <w:rsid w:val="008B660B"/>
    <w:rsid w:val="008B7F4E"/>
    <w:rsid w:val="008C3525"/>
    <w:rsid w:val="008E01D3"/>
    <w:rsid w:val="00926FDF"/>
    <w:rsid w:val="00996AB8"/>
    <w:rsid w:val="009C07AE"/>
    <w:rsid w:val="009F505C"/>
    <w:rsid w:val="00A10A83"/>
    <w:rsid w:val="00AB28AD"/>
    <w:rsid w:val="00AE5C61"/>
    <w:rsid w:val="00B478B8"/>
    <w:rsid w:val="00C4488C"/>
    <w:rsid w:val="00D31CEC"/>
    <w:rsid w:val="00D41780"/>
    <w:rsid w:val="00D87AC0"/>
    <w:rsid w:val="00E25B51"/>
    <w:rsid w:val="00E31493"/>
    <w:rsid w:val="00EE1EDD"/>
    <w:rsid w:val="00FA79AA"/>
    <w:rsid w:val="01DE318D"/>
    <w:rsid w:val="0EFFF08B"/>
    <w:rsid w:val="1556FFE7"/>
    <w:rsid w:val="1E2F585A"/>
    <w:rsid w:val="1FB9016F"/>
    <w:rsid w:val="1FE6D21C"/>
    <w:rsid w:val="23735A5C"/>
    <w:rsid w:val="2F731B75"/>
    <w:rsid w:val="2F7EA178"/>
    <w:rsid w:val="2FEFCACA"/>
    <w:rsid w:val="2FF31CCC"/>
    <w:rsid w:val="33BF5DDC"/>
    <w:rsid w:val="37BFBFEE"/>
    <w:rsid w:val="37FD2E23"/>
    <w:rsid w:val="3AEE7FDD"/>
    <w:rsid w:val="3B1D5808"/>
    <w:rsid w:val="3BFE8EC0"/>
    <w:rsid w:val="3D3B750B"/>
    <w:rsid w:val="3DFB85D7"/>
    <w:rsid w:val="3DFFFEEB"/>
    <w:rsid w:val="3E578A4D"/>
    <w:rsid w:val="3E7746F2"/>
    <w:rsid w:val="3EAFE38B"/>
    <w:rsid w:val="3EFB023F"/>
    <w:rsid w:val="3F5B7215"/>
    <w:rsid w:val="3F6FC1FB"/>
    <w:rsid w:val="3F730350"/>
    <w:rsid w:val="3F76647A"/>
    <w:rsid w:val="3F7D5AD8"/>
    <w:rsid w:val="3FBA30DB"/>
    <w:rsid w:val="3FBFE16E"/>
    <w:rsid w:val="3FF7F9C0"/>
    <w:rsid w:val="3FFBC816"/>
    <w:rsid w:val="48D44964"/>
    <w:rsid w:val="4CD68066"/>
    <w:rsid w:val="4E67CE40"/>
    <w:rsid w:val="4F6D150F"/>
    <w:rsid w:val="4FEE37C7"/>
    <w:rsid w:val="4FFB9147"/>
    <w:rsid w:val="517E78AA"/>
    <w:rsid w:val="53DF3E7F"/>
    <w:rsid w:val="545DF6FA"/>
    <w:rsid w:val="55DE48F6"/>
    <w:rsid w:val="57ADBE82"/>
    <w:rsid w:val="57E332DD"/>
    <w:rsid w:val="57E9CD93"/>
    <w:rsid w:val="57EB425A"/>
    <w:rsid w:val="59D7A30C"/>
    <w:rsid w:val="5BEE7D82"/>
    <w:rsid w:val="5BFC36A8"/>
    <w:rsid w:val="5F5F35ED"/>
    <w:rsid w:val="5FB4B9F0"/>
    <w:rsid w:val="5FBA6CF8"/>
    <w:rsid w:val="5FD532B6"/>
    <w:rsid w:val="5FE95128"/>
    <w:rsid w:val="5FF3352E"/>
    <w:rsid w:val="5FFFD6B5"/>
    <w:rsid w:val="67BF653D"/>
    <w:rsid w:val="67FBD21B"/>
    <w:rsid w:val="69CDDFC6"/>
    <w:rsid w:val="6AFBD4E9"/>
    <w:rsid w:val="6BFE087F"/>
    <w:rsid w:val="6BFF83C2"/>
    <w:rsid w:val="6C5F4E7D"/>
    <w:rsid w:val="6D3F2E98"/>
    <w:rsid w:val="6DFE07CC"/>
    <w:rsid w:val="6DFFB2B9"/>
    <w:rsid w:val="6ECB6C3E"/>
    <w:rsid w:val="6F3A9571"/>
    <w:rsid w:val="6FCDA027"/>
    <w:rsid w:val="6FDC8289"/>
    <w:rsid w:val="71FF8133"/>
    <w:rsid w:val="729DB731"/>
    <w:rsid w:val="732F9AB6"/>
    <w:rsid w:val="73A5D6F8"/>
    <w:rsid w:val="74FD455A"/>
    <w:rsid w:val="75D907AF"/>
    <w:rsid w:val="763ED7FC"/>
    <w:rsid w:val="767FBCC8"/>
    <w:rsid w:val="76FE24ED"/>
    <w:rsid w:val="77773C62"/>
    <w:rsid w:val="777F4630"/>
    <w:rsid w:val="77DF7EB6"/>
    <w:rsid w:val="77FABEEF"/>
    <w:rsid w:val="77FC8AD8"/>
    <w:rsid w:val="77FFC18C"/>
    <w:rsid w:val="77FFEDC5"/>
    <w:rsid w:val="78F52093"/>
    <w:rsid w:val="797F48DA"/>
    <w:rsid w:val="79CFCA19"/>
    <w:rsid w:val="7B2E7344"/>
    <w:rsid w:val="7B503CA9"/>
    <w:rsid w:val="7B5B4466"/>
    <w:rsid w:val="7B8DB0E0"/>
    <w:rsid w:val="7BD7C5D4"/>
    <w:rsid w:val="7BDE2E6D"/>
    <w:rsid w:val="7BFAEA32"/>
    <w:rsid w:val="7C9BB5BA"/>
    <w:rsid w:val="7D629DCE"/>
    <w:rsid w:val="7D7E1C9B"/>
    <w:rsid w:val="7DAF9F6F"/>
    <w:rsid w:val="7DDF7761"/>
    <w:rsid w:val="7DDFEE83"/>
    <w:rsid w:val="7DFBA975"/>
    <w:rsid w:val="7E7F7957"/>
    <w:rsid w:val="7EBE6155"/>
    <w:rsid w:val="7F3BE6B0"/>
    <w:rsid w:val="7F3F94D5"/>
    <w:rsid w:val="7F3FC408"/>
    <w:rsid w:val="7F7AD461"/>
    <w:rsid w:val="7F9BB94C"/>
    <w:rsid w:val="7FB5D6F6"/>
    <w:rsid w:val="7FCD88E5"/>
    <w:rsid w:val="7FF59EC3"/>
    <w:rsid w:val="7FF9E7AB"/>
    <w:rsid w:val="7FFA4ACA"/>
    <w:rsid w:val="7FFFFE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B478B8"/>
    <w:pPr>
      <w:widowControl w:val="0"/>
      <w:jc w:val="both"/>
    </w:pPr>
    <w:rPr>
      <w:rFonts w:ascii="Times New Roman" w:hAnsi="Times New Roman"/>
      <w:kern w:val="2"/>
      <w:sz w:val="21"/>
      <w:szCs w:val="24"/>
    </w:rPr>
  </w:style>
  <w:style w:type="paragraph" w:styleId="2">
    <w:name w:val="heading 2"/>
    <w:basedOn w:val="a"/>
    <w:next w:val="a"/>
    <w:qFormat/>
    <w:rsid w:val="00B478B8"/>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B478B8"/>
    <w:rPr>
      <w:rFonts w:eastAsia="楷体_GB2312"/>
      <w:sz w:val="32"/>
      <w:szCs w:val="20"/>
    </w:rPr>
  </w:style>
  <w:style w:type="paragraph" w:styleId="a4">
    <w:name w:val="Balloon Text"/>
    <w:basedOn w:val="a"/>
    <w:link w:val="Char"/>
    <w:rsid w:val="00B478B8"/>
    <w:rPr>
      <w:rFonts w:cs="Times New Roman"/>
      <w:sz w:val="18"/>
      <w:szCs w:val="18"/>
    </w:rPr>
  </w:style>
  <w:style w:type="character" w:customStyle="1" w:styleId="Char">
    <w:name w:val="批注框文本 Char"/>
    <w:link w:val="a4"/>
    <w:rsid w:val="00B478B8"/>
    <w:rPr>
      <w:rFonts w:ascii="Times New Roman" w:hAnsi="Times New Roman"/>
      <w:kern w:val="2"/>
      <w:sz w:val="18"/>
      <w:szCs w:val="18"/>
    </w:rPr>
  </w:style>
  <w:style w:type="paragraph" w:styleId="a5">
    <w:name w:val="footer"/>
    <w:basedOn w:val="a"/>
    <w:link w:val="Char0"/>
    <w:uiPriority w:val="99"/>
    <w:rsid w:val="00B478B8"/>
    <w:pPr>
      <w:tabs>
        <w:tab w:val="center" w:pos="4153"/>
        <w:tab w:val="right" w:pos="8306"/>
      </w:tabs>
      <w:snapToGrid w:val="0"/>
      <w:jc w:val="left"/>
    </w:pPr>
    <w:rPr>
      <w:rFonts w:cs="Times New Roman"/>
      <w:sz w:val="18"/>
      <w:szCs w:val="20"/>
    </w:rPr>
  </w:style>
  <w:style w:type="character" w:customStyle="1" w:styleId="Char0">
    <w:name w:val="页脚 Char"/>
    <w:link w:val="a5"/>
    <w:uiPriority w:val="99"/>
    <w:rsid w:val="00B478B8"/>
    <w:rPr>
      <w:rFonts w:ascii="Times New Roman" w:hAnsi="Times New Roman"/>
      <w:kern w:val="2"/>
      <w:sz w:val="18"/>
    </w:rPr>
  </w:style>
  <w:style w:type="paragraph" w:styleId="a6">
    <w:name w:val="header"/>
    <w:basedOn w:val="a"/>
    <w:link w:val="Char1"/>
    <w:rsid w:val="00B478B8"/>
    <w:pPr>
      <w:pBdr>
        <w:bottom w:val="single" w:sz="6" w:space="1" w:color="auto"/>
      </w:pBdr>
      <w:tabs>
        <w:tab w:val="center" w:pos="4153"/>
        <w:tab w:val="right" w:pos="8306"/>
      </w:tabs>
      <w:snapToGrid w:val="0"/>
      <w:jc w:val="center"/>
    </w:pPr>
    <w:rPr>
      <w:rFonts w:cs="Times New Roman"/>
      <w:sz w:val="18"/>
      <w:szCs w:val="18"/>
    </w:rPr>
  </w:style>
  <w:style w:type="character" w:customStyle="1" w:styleId="Char1">
    <w:name w:val="页眉 Char"/>
    <w:link w:val="a6"/>
    <w:rsid w:val="00B478B8"/>
    <w:rPr>
      <w:rFonts w:ascii="Times New Roman" w:hAnsi="Times New Roman"/>
      <w:kern w:val="2"/>
      <w:sz w:val="18"/>
      <w:szCs w:val="18"/>
    </w:rPr>
  </w:style>
  <w:style w:type="character" w:styleId="a7">
    <w:name w:val="page number"/>
    <w:rsid w:val="00B478B8"/>
  </w:style>
</w:styles>
</file>

<file path=word/webSettings.xml><?xml version="1.0" encoding="utf-8"?>
<w:webSettings xmlns:r="http://schemas.openxmlformats.org/officeDocument/2006/relationships" xmlns:w="http://schemas.openxmlformats.org/wordprocessingml/2006/main">
  <w:divs>
    <w:div w:id="1518810298">
      <w:bodyDiv w:val="1"/>
      <w:marLeft w:val="0"/>
      <w:marRight w:val="0"/>
      <w:marTop w:val="0"/>
      <w:marBottom w:val="0"/>
      <w:divBdr>
        <w:top w:val="none" w:sz="0" w:space="0" w:color="auto"/>
        <w:left w:val="none" w:sz="0" w:space="0" w:color="auto"/>
        <w:bottom w:val="none" w:sz="0" w:space="0" w:color="auto"/>
        <w:right w:val="none" w:sz="0" w:space="0" w:color="auto"/>
      </w:divBdr>
      <w:divsChild>
        <w:div w:id="1749425089">
          <w:marLeft w:val="0"/>
          <w:marRight w:val="0"/>
          <w:marTop w:val="0"/>
          <w:marBottom w:val="0"/>
          <w:divBdr>
            <w:top w:val="none" w:sz="0" w:space="0" w:color="auto"/>
            <w:left w:val="none" w:sz="0" w:space="0" w:color="auto"/>
            <w:bottom w:val="none" w:sz="0" w:space="0" w:color="auto"/>
            <w:right w:val="none" w:sz="0" w:space="0" w:color="auto"/>
          </w:divBdr>
          <w:divsChild>
            <w:div w:id="90206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24037;&#20316;&#34920;%20&#22312;%20&#25991;&#23383;&#25991;&#31295;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lrMapOvr bg1="lt1" tx1="dk1" bg2="lt2" tx2="dk2" accent1="accent1" accent2="accent2" accent3="accent3" accent4="accent4" accent5="accent5" accent6="accent6" hlink="hlink" folHlink="folHlink"/>
  <c:chart>
    <c:title/>
    <c:plotArea>
      <c:layout/>
      <c:pieChart>
        <c:varyColors val="1"/>
        <c:ser>
          <c:idx val="0"/>
          <c:order val="0"/>
          <c:tx>
            <c:strRef>
              <c:f>'[工作表 在 文字文稿1]Sheet1'!$A$2</c:f>
              <c:strCache>
                <c:ptCount val="1"/>
                <c:pt idx="0">
                  <c:v>收入预算</c:v>
                </c:pt>
              </c:strCache>
            </c:strRef>
          </c:tx>
          <c:dLbls>
            <c:showPercent val="1"/>
          </c:dLbls>
          <c:cat>
            <c:strRef>
              <c:f>'[工作表 在 文字文稿1]Sheet1'!$B$1:$D$1</c:f>
              <c:strCache>
                <c:ptCount val="3"/>
                <c:pt idx="0">
                  <c:v>一般公共预算拨款收入</c:v>
                </c:pt>
                <c:pt idx="1">
                  <c:v>其他收入</c:v>
                </c:pt>
                <c:pt idx="2">
                  <c:v>上年结转结余</c:v>
                </c:pt>
              </c:strCache>
            </c:strRef>
          </c:cat>
          <c:val>
            <c:numRef>
              <c:f>'[工作表 在 文字文稿1]Sheet1'!$B$2:$D$2</c:f>
              <c:numCache>
                <c:formatCode>General</c:formatCode>
                <c:ptCount val="3"/>
                <c:pt idx="0">
                  <c:v>15899.02</c:v>
                </c:pt>
                <c:pt idx="1">
                  <c:v>2</c:v>
                </c:pt>
                <c:pt idx="2">
                  <c:v>1978.26</c:v>
                </c:pt>
              </c:numCache>
            </c:numRef>
          </c:val>
        </c:ser>
        <c:ser>
          <c:idx val="1"/>
          <c:order val="1"/>
          <c:dLbls>
            <c:showPercent val="1"/>
          </c:dLbls>
          <c:cat>
            <c:strRef>
              <c:f>'[工作表 在 文字文稿1]Sheet1'!$B$1:$D$1</c:f>
              <c:strCache>
                <c:ptCount val="3"/>
                <c:pt idx="0">
                  <c:v>一般公共预算拨款收入</c:v>
                </c:pt>
                <c:pt idx="1">
                  <c:v>其他收入</c:v>
                </c:pt>
                <c:pt idx="2">
                  <c:v>上年结转结余</c:v>
                </c:pt>
              </c:strCache>
            </c:strRef>
          </c:cat>
          <c:val>
            <c:numLit>
              <c:formatCode>General</c:formatCode>
              <c:ptCount val="1"/>
              <c:pt idx="0">
                <c:v>0</c:v>
              </c:pt>
            </c:numLit>
          </c:val>
        </c:ser>
        <c:ser>
          <c:idx val="2"/>
          <c:order val="2"/>
          <c:dLbls>
            <c:showPercent val="1"/>
          </c:dLbls>
          <c:cat>
            <c:strRef>
              <c:f>'[工作表 在 文字文稿1]Sheet1'!$B$1:$D$1</c:f>
              <c:strCache>
                <c:ptCount val="3"/>
                <c:pt idx="0">
                  <c:v>一般公共预算拨款收入</c:v>
                </c:pt>
                <c:pt idx="1">
                  <c:v>其他收入</c:v>
                </c:pt>
                <c:pt idx="2">
                  <c:v>上年结转结余</c:v>
                </c:pt>
              </c:strCache>
            </c:strRef>
          </c:cat>
          <c:val>
            <c:numLit>
              <c:formatCode>General</c:formatCode>
              <c:ptCount val="1"/>
              <c:pt idx="0">
                <c:v>0</c:v>
              </c:pt>
            </c:numLit>
          </c:val>
        </c:ser>
        <c:dLbls>
          <c:showPercent val="1"/>
        </c:dLbls>
        <c:firstSliceAng val="0"/>
      </c:pieChart>
      <c:spPr>
        <a:noFill/>
        <a:ln w="25400">
          <a:noFill/>
        </a:ln>
      </c:spPr>
    </c:plotArea>
    <c:legend>
      <c:legendPos val="r"/>
    </c:legend>
    <c:plotVisOnly val="1"/>
    <c:dispBlanksAs val="zero"/>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pieChart>
        <c:varyColors val="1"/>
        <c:ser>
          <c:idx val="0"/>
          <c:order val="0"/>
          <c:tx>
            <c:strRef>
              <c:f>Sheet1!$A$2</c:f>
              <c:strCache>
                <c:ptCount val="1"/>
                <c:pt idx="0">
                  <c:v>2025</c:v>
                </c:pt>
              </c:strCache>
            </c:strRef>
          </c:tx>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ext>
            </c:extLst>
          </c:dLbls>
          <c:cat>
            <c:strRef>
              <c:f>Sheet1!$B$1:$C$1</c:f>
              <c:strCache>
                <c:ptCount val="2"/>
                <c:pt idx="0">
                  <c:v>基本支出</c:v>
                </c:pt>
                <c:pt idx="1">
                  <c:v>项目支出</c:v>
                </c:pt>
              </c:strCache>
            </c:strRef>
          </c:cat>
          <c:val>
            <c:numRef>
              <c:f>Sheet1!$B$2:$C$2</c:f>
              <c:numCache>
                <c:formatCode>General</c:formatCode>
                <c:ptCount val="2"/>
                <c:pt idx="0">
                  <c:v>9829.52</c:v>
                </c:pt>
                <c:pt idx="1">
                  <c:v>8045</c:v>
                </c:pt>
              </c:numCache>
            </c:numRef>
          </c:val>
        </c:ser>
        <c:dLbls>
          <c:showPercent val="1"/>
        </c:dLbls>
        <c:firstSliceAng val="0"/>
      </c:pieChart>
    </c:plotArea>
    <c:legend>
      <c:legendPos val="r"/>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chart>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27</TotalTime>
  <Pages>9</Pages>
  <Words>592</Words>
  <Characters>3378</Characters>
  <Application>Microsoft Office Word</Application>
  <DocSecurity>0</DocSecurity>
  <Lines>28</Lines>
  <Paragraphs>7</Paragraphs>
  <ScaleCrop>false</ScaleCrop>
  <Company>WwW.YlmF.CoM</Company>
  <LinksUpToDate>false</LinksUpToDate>
  <CharactersWithSpaces>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处领导：</dc:title>
  <dc:creator>马荣丽</dc:creator>
  <cp:lastModifiedBy>NTKO</cp:lastModifiedBy>
  <cp:revision>9</cp:revision>
  <cp:lastPrinted>2024-02-22T17:18:00Z</cp:lastPrinted>
  <dcterms:created xsi:type="dcterms:W3CDTF">2025-02-08T07:51:00Z</dcterms:created>
  <dcterms:modified xsi:type="dcterms:W3CDTF">2025-02-10T07:19:00Z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2052-11.8.2.11880</vt:lpwstr>
  </property>
  <property fmtid="{D5CDD505-2E9C-101B-9397-08002B2CF9AE}" pid="3" name="ICV">
    <vt:lpwstr>BD18CBCE778FBC28FA28BA6547FDD7CF</vt:lpwstr>
  </property>
</Properties>
</file>