
<file path=[Content_Types].xml><?xml version="1.0" encoding="utf-8"?>
<Types xmlns="http://schemas.openxmlformats.org/package/2006/content-types">
  <Default Extension="xml" ContentType="application/xml"/>
  <Default Extension="xls" ContentType="application/vnd.ms-exce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40"/>
          <w:szCs w:val="40"/>
        </w:rPr>
      </w:pPr>
      <w:bookmarkStart w:id="0" w:name="_GoBack"/>
      <w:bookmarkEnd w:id="0"/>
    </w:p>
    <w:p>
      <w:pPr>
        <w:spacing w:line="560" w:lineRule="exact"/>
        <w:jc w:val="center"/>
        <w:rPr>
          <w:rFonts w:ascii="方正小标宋简体" w:eastAsia="方正小标宋简体"/>
          <w:color w:val="000000"/>
          <w:sz w:val="40"/>
          <w:szCs w:val="40"/>
        </w:rPr>
      </w:pPr>
      <w:r>
        <w:rPr>
          <w:rFonts w:hint="eastAsia" w:ascii="方正小标宋简体" w:eastAsia="方正小标宋简体"/>
          <w:color w:val="000000"/>
          <w:sz w:val="40"/>
          <w:szCs w:val="40"/>
        </w:rPr>
        <w:t>北京市统计发展促进中心2025年度单位</w:t>
      </w: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0"/>
          <w:szCs w:val="40"/>
        </w:rPr>
        <w:t>预算信息公开</w:t>
      </w:r>
    </w:p>
    <w:p>
      <w:pPr>
        <w:spacing w:line="560" w:lineRule="exact"/>
        <w:jc w:val="center"/>
        <w:rPr>
          <w:rFonts w:ascii="方正小标宋简体" w:eastAsia="方正小标宋简体"/>
          <w:color w:val="000000"/>
          <w:sz w:val="32"/>
          <w:szCs w:val="32"/>
        </w:rPr>
      </w:pPr>
    </w:p>
    <w:p>
      <w:pPr>
        <w:spacing w:line="560" w:lineRule="exact"/>
        <w:jc w:val="center"/>
        <w:rPr>
          <w:rFonts w:ascii="Cambria" w:eastAsia="黑体"/>
          <w:color w:val="000000"/>
          <w:sz w:val="36"/>
          <w:szCs w:val="32"/>
        </w:rPr>
      </w:pPr>
      <w:r>
        <w:rPr>
          <w:rFonts w:hint="eastAsia" w:ascii="方正小标宋简体" w:eastAsia="方正小标宋简体"/>
          <w:color w:val="000000"/>
          <w:sz w:val="32"/>
          <w:szCs w:val="32"/>
        </w:rPr>
        <w:t>目   录</w:t>
      </w:r>
    </w:p>
    <w:p>
      <w:pPr>
        <w:spacing w:line="240" w:lineRule="exact"/>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8"/>
          <w:kern w:val="0"/>
          <w:sz w:val="32"/>
          <w:szCs w:val="32"/>
          <w:lang w:val="zh-CN"/>
        </w:rPr>
        <w:t>十</w:t>
      </w:r>
      <w:r>
        <w:rPr>
          <w:rFonts w:hint="eastAsia" w:ascii="仿宋_GB2312" w:hAnsi="仿宋_GB2312" w:eastAsia="仿宋_GB2312" w:cs="仿宋_GB2312"/>
          <w:color w:val="000000"/>
          <w:kern w:val="0"/>
          <w:sz w:val="32"/>
          <w:szCs w:val="32"/>
          <w:lang w:val="zh-CN"/>
        </w:rPr>
        <w:t>二、政府购买服务预算财政拨款明细表</w:t>
      </w:r>
    </w:p>
    <w:p>
      <w:pPr>
        <w:autoSpaceDE w:val="0"/>
        <w:autoSpaceDN w:val="0"/>
        <w:adjustRightInd w:val="0"/>
        <w:spacing w:line="560" w:lineRule="exact"/>
        <w:ind w:firstLine="566" w:firstLineChars="177"/>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br w:type="page"/>
      </w: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pPr>
        <w:spacing w:line="680" w:lineRule="exact"/>
        <w:jc w:val="center"/>
        <w:rPr>
          <w:rFonts w:ascii="方正小标宋简体" w:eastAsia="方正小标宋简体"/>
          <w:color w:val="000000"/>
          <w:sz w:val="36"/>
          <w:szCs w:val="36"/>
        </w:rPr>
      </w:pPr>
    </w:p>
    <w:p>
      <w:pPr>
        <w:spacing w:line="54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40" w:lineRule="exact"/>
        <w:ind w:firstLine="645"/>
      </w:pPr>
      <w:r>
        <w:rPr>
          <w:rFonts w:hint="eastAsia" w:ascii="仿宋_GB2312" w:eastAsia="仿宋_GB2312"/>
          <w:sz w:val="32"/>
          <w:szCs w:val="32"/>
        </w:rPr>
        <w:t>根据</w:t>
      </w:r>
      <w:r>
        <w:rPr>
          <w:rFonts w:hint="eastAsia" w:ascii="仿宋_GB2312" w:hAnsi="楷体" w:eastAsia="仿宋_GB2312"/>
          <w:sz w:val="32"/>
          <w:szCs w:val="32"/>
        </w:rPr>
        <w:t>北京市机构编制委员会相关文件</w:t>
      </w:r>
      <w:r>
        <w:rPr>
          <w:rFonts w:hint="eastAsia" w:ascii="仿宋_GB2312" w:eastAsia="仿宋_GB2312"/>
          <w:sz w:val="32"/>
          <w:szCs w:val="32"/>
        </w:rPr>
        <w:t>，成立北京市统计发展促进中心，为正处级公益一类事业单位。主要职责是：承担本市统计宣传、信息公开、档案和资料管理以及本系统干部教育培训等方面事务性工作。</w:t>
      </w:r>
    </w:p>
    <w:p>
      <w:pPr>
        <w:numPr>
          <w:ilvl w:val="0"/>
          <w:numId w:val="1"/>
        </w:num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北京市统计发展促进中心内设机构5个，分别为：融媒体科、公共服务科、办公室及资料管理科、教育培训科、宣教保障科，无下属单位。</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北京市统计发展促进中心行政编制0人，实有人数0人；事业编制25人，实有人数23人；</w:t>
      </w:r>
      <w:r>
        <w:rPr>
          <w:rFonts w:hint="eastAsia" w:ascii="仿宋_GB2312" w:eastAsia="仿宋_GB2312"/>
          <w:sz w:val="32"/>
          <w:szCs w:val="32"/>
        </w:rPr>
        <w:t>离退休人员0人，其中：离休0人，退休0人</w:t>
      </w:r>
      <w:r>
        <w:rPr>
          <w:rFonts w:hint="eastAsia" w:ascii="仿宋_GB2312" w:eastAsia="仿宋_GB2312"/>
          <w:color w:val="000000"/>
          <w:sz w:val="32"/>
          <w:szCs w:val="32"/>
        </w:rPr>
        <w:t>。</w:t>
      </w:r>
    </w:p>
    <w:p>
      <w:pPr>
        <w:spacing w:line="54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ind w:firstLine="640" w:firstLineChars="200"/>
      </w:pPr>
      <w:r>
        <w:rPr>
          <w:rFonts w:hint="eastAsia" w:ascii="仿宋_GB2312" w:eastAsia="仿宋_GB2312"/>
          <w:sz w:val="32"/>
          <w:szCs w:val="32"/>
        </w:rPr>
        <w:t>2025年收入预算1251.13万元，比2024年年初预算数1150.18万元增加100.95万元，增长8.78%。主要原因是人员增加及在职职工晋级晋档。</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hint="eastAsia" w:ascii="仿宋_GB2312" w:eastAsia="仿宋_GB2312"/>
          <w:sz w:val="32"/>
          <w:szCs w:val="32"/>
        </w:rPr>
        <w:t>1226.63</w:t>
      </w:r>
      <w:r>
        <w:rPr>
          <w:rFonts w:hint="eastAsia" w:ascii="楷体_GB2312" w:eastAsia="楷体_GB2312"/>
          <w:sz w:val="32"/>
          <w:szCs w:val="32"/>
        </w:rPr>
        <w:t>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1.一般公共预算拨款收入1226.63万元。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3.国有资本经营预算拨款收入0万元。</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（二）本年其他资金收入0万元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5.事业收入0万元。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6.上级补助收入0万元。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7.附属单位上缴收入0万元。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8.事业单位经营收入0万元。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9.其他收入0万元。</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（三）上年结转结余24.5万元</w:t>
      </w:r>
    </w:p>
    <w:p>
      <w:pPr>
        <w:spacing w:line="540" w:lineRule="exact"/>
        <w:ind w:firstLine="640" w:firstLineChars="200"/>
        <w:rPr>
          <w:rFonts w:eastAsia="仿宋_GB2312"/>
        </w:rPr>
      </w:pPr>
      <w:r>
        <w:rPr>
          <w:rFonts w:hint="eastAsia" w:ascii="仿宋_GB2312" w:eastAsia="仿宋_GB2312"/>
          <w:sz w:val="32"/>
          <w:szCs w:val="32"/>
        </w:rPr>
        <w:t>10.上年结转结余24.5万元。</w:t>
      </w:r>
    </w:p>
    <w:p>
      <w:pPr>
        <w:spacing w:line="720" w:lineRule="auto"/>
        <w:ind w:firstLine="641"/>
        <w:rPr>
          <w:rFonts w:ascii="仿宋_GB2312" w:eastAsia="仿宋_GB2312"/>
          <w:sz w:val="32"/>
          <w:szCs w:val="32"/>
        </w:rPr>
      </w:pPr>
      <w:r>
        <w:rPr>
          <w:rFonts w:hint="eastAsia" w:ascii="仿宋_GB2312" w:eastAsia="仿宋_GB2312"/>
          <w:sz w:val="32"/>
          <w:szCs w:val="32"/>
        </w:rPr>
        <w:object>
          <v:shape id="_x0000_i1025" o:spt="75" type="#_x0000_t75" style="height:222.85pt;width:366.85pt;" o:ole="t" filled="f" o:preferrelative="t" stroked="f" coordsize="21600,21600">
            <v:path/>
            <v:fill on="f" focussize="0,0"/>
            <v:stroke on="f" joinstyle="miter"/>
            <v:imagedata r:id="rId6" o:title=""/>
            <o:lock v:ext="edit" aspectratio="t"/>
            <w10:wrap type="none"/>
            <w10:anchorlock/>
          </v:shape>
          <o:OLEObject Type="Embed" ProgID="Excel.Chart.8" ShapeID="_x0000_i1025" DrawAspect="Content" ObjectID="_1468075725" r:id="rId5">
            <o:LockedField>false</o:LockedField>
          </o:OLEObject>
        </w:object>
      </w:r>
    </w:p>
    <w:p/>
    <w:p>
      <w:pPr>
        <w:tabs>
          <w:tab w:val="left" w:pos="1706"/>
        </w:tabs>
        <w:jc w:val="center"/>
        <w:rPr>
          <w:rFonts w:ascii="仿宋_GB2312" w:eastAsia="仿宋_GB2312"/>
          <w:sz w:val="32"/>
        </w:rPr>
      </w:pPr>
      <w:r>
        <w:rPr>
          <w:rFonts w:hint="eastAsia" w:ascii="仿宋_GB2312" w:eastAsia="仿宋_GB2312"/>
          <w:sz w:val="32"/>
        </w:rPr>
        <w:t>图1：收入预算</w:t>
      </w:r>
    </w:p>
    <w:p>
      <w:pPr>
        <w:spacing w:line="540" w:lineRule="exact"/>
        <w:ind w:firstLine="640" w:firstLineChars="200"/>
        <w:rPr>
          <w:rFonts w:ascii="黑体" w:eastAsia="黑体"/>
          <w:color w:val="000000"/>
          <w:sz w:val="32"/>
          <w:szCs w:val="32"/>
        </w:rPr>
      </w:pPr>
      <w:r>
        <w:rPr>
          <w:rFonts w:hint="eastAsia" w:ascii="黑体" w:eastAsia="黑体"/>
          <w:color w:val="000000"/>
          <w:sz w:val="32"/>
          <w:szCs w:val="32"/>
        </w:rPr>
        <w:t>三、支出预算情况说明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2025年支出预算1251.13万元，比2024年年初预算数1150.18万元增加100.95万元，增长8.78%。主要原因是人员增加及在职职工晋级晋档。</w:t>
      </w:r>
    </w:p>
    <w:p>
      <w:pPr>
        <w:spacing w:line="540" w:lineRule="exact"/>
        <w:ind w:firstLine="624" w:firstLineChars="195"/>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基本支出预算948.39万元，占总支出预算75.80%，比2024年年初预算数857.50万元增加90.89万元，增长10.6%。</w:t>
      </w:r>
    </w:p>
    <w:p>
      <w:pPr>
        <w:numPr>
          <w:ilvl w:val="0"/>
          <w:numId w:val="0"/>
        </w:numPr>
        <w:spacing w:line="54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项目支出预算296.46万元，比2024年年初预算数292.68万元增加3.78万元，增长1.29%。其中：</w:t>
      </w:r>
    </w:p>
    <w:p>
      <w:pPr>
        <w:spacing w:line="540" w:lineRule="exact"/>
        <w:ind w:firstLine="624" w:firstLineChars="195"/>
        <w:rPr>
          <w:rFonts w:ascii="仿宋_GB2312" w:eastAsia="仿宋_GB2312"/>
          <w:sz w:val="32"/>
          <w:szCs w:val="32"/>
        </w:rPr>
      </w:pPr>
      <w:r>
        <w:rPr>
          <w:rFonts w:hint="eastAsia" w:ascii="仿宋_GB2312" w:eastAsia="仿宋_GB2312"/>
          <w:sz w:val="32"/>
          <w:szCs w:val="32"/>
        </w:rPr>
        <w:t>1.事业单位经营支出0万元。</w:t>
      </w:r>
    </w:p>
    <w:p>
      <w:pPr>
        <w:spacing w:line="540" w:lineRule="exact"/>
        <w:ind w:firstLine="624" w:firstLineChars="195"/>
        <w:rPr>
          <w:rFonts w:ascii="仿宋_GB2312" w:eastAsia="仿宋_GB2312"/>
          <w:sz w:val="32"/>
          <w:szCs w:val="32"/>
        </w:rPr>
      </w:pPr>
      <w:r>
        <w:rPr>
          <w:rFonts w:hint="eastAsia" w:ascii="仿宋_GB2312" w:eastAsia="仿宋_GB2312"/>
          <w:sz w:val="32"/>
          <w:szCs w:val="32"/>
        </w:rPr>
        <w:t>2.上缴上级支出0万元。</w:t>
      </w:r>
    </w:p>
    <w:p>
      <w:pPr>
        <w:spacing w:line="540" w:lineRule="exact"/>
        <w:ind w:firstLine="624" w:firstLineChars="195"/>
        <w:rPr>
          <w:rFonts w:ascii="仿宋_GB2312" w:eastAsia="仿宋_GB2312"/>
          <w:sz w:val="32"/>
          <w:szCs w:val="32"/>
        </w:rPr>
      </w:pPr>
      <w:r>
        <w:rPr>
          <w:rFonts w:hint="eastAsia" w:ascii="仿宋_GB2312" w:eastAsia="仿宋_GB2312"/>
          <w:sz w:val="32"/>
          <w:szCs w:val="32"/>
        </w:rPr>
        <w:t>3.对附属单位补助支出0万元。</w:t>
      </w:r>
    </w:p>
    <w:p>
      <w:pPr>
        <w:spacing w:line="720" w:lineRule="auto"/>
        <w:ind w:firstLine="640"/>
      </w:pPr>
      <w:r>
        <w:rPr>
          <w:rFonts w:hint="eastAsia" w:ascii="仿宋_GB2312" w:eastAsia="仿宋_GB2312"/>
          <w:sz w:val="32"/>
          <w:szCs w:val="32"/>
        </w:rPr>
        <w:object>
          <v:shape id="_x0000_i1026" o:spt="75" type="#_x0000_t75" style="height:222.85pt;width:366.85pt;" o:ole="t" filled="f" o:preferrelative="t" stroked="f" coordsize="21600,21600">
            <v:path/>
            <v:fill on="f" focussize="0,0"/>
            <v:stroke on="f" joinstyle="miter"/>
            <v:imagedata r:id="rId8" o:title=""/>
            <o:lock v:ext="edit" aspectratio="t"/>
            <w10:wrap type="none"/>
            <w10:anchorlock/>
          </v:shape>
          <o:OLEObject Type="Embed" ProgID="Excel.Chart.8" ShapeID="_x0000_i1026" DrawAspect="Content" ObjectID="_1468075726" r:id="rId7">
            <o:LockedField>false</o:LockedField>
          </o:OLEObject>
        </w:object>
      </w:r>
    </w:p>
    <w:p>
      <w:pPr>
        <w:pStyle w:val="2"/>
        <w:ind w:firstLine="642"/>
        <w:jc w:val="center"/>
      </w:pPr>
      <w:r>
        <w:rPr>
          <w:rFonts w:hint="eastAsia" w:ascii="仿宋_GB2312" w:eastAsia="仿宋_GB2312"/>
          <w:sz w:val="32"/>
        </w:rPr>
        <w:t>图2：基本支出和项目支出情况</w:t>
      </w:r>
    </w:p>
    <w:p>
      <w:pPr>
        <w:numPr>
          <w:ilvl w:val="0"/>
          <w:numId w:val="2"/>
        </w:numPr>
        <w:spacing w:line="54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w:t>
      </w:r>
      <w:r>
        <w:rPr>
          <w:rFonts w:hint="eastAsia" w:ascii="仿宋_GB2312" w:eastAsia="仿宋_GB2312"/>
          <w:sz w:val="32"/>
          <w:szCs w:val="32"/>
        </w:rPr>
        <w:t>6.28</w:t>
      </w:r>
      <w:r>
        <w:rPr>
          <w:rFonts w:hint="eastAsia" w:ascii="楷体_GB2312" w:hAnsi="楷体_GB2312" w:eastAsia="楷体_GB2312" w:cs="楷体_GB2312"/>
          <w:color w:val="000000"/>
          <w:sz w:val="32"/>
          <w:szCs w:val="32"/>
        </w:rPr>
        <w:t>万元</w:t>
      </w:r>
    </w:p>
    <w:p>
      <w:pPr>
        <w:spacing w:line="540" w:lineRule="exact"/>
        <w:ind w:firstLine="640" w:firstLineChars="200"/>
        <w:rPr>
          <w:rFonts w:ascii="楷体_GB2312" w:eastAsia="楷体_GB2312" w:cs="楷体_GB2312"/>
          <w:sz w:val="32"/>
          <w:szCs w:val="32"/>
        </w:rPr>
      </w:pPr>
      <w:r>
        <w:rPr>
          <w:rFonts w:hint="eastAsia" w:ascii="黑体" w:eastAsia="黑体"/>
          <w:sz w:val="32"/>
          <w:szCs w:val="32"/>
        </w:rPr>
        <w:t>四、财政拨款“三公”经费预算情况说明</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40" w:lineRule="exact"/>
        <w:ind w:firstLine="640" w:firstLineChars="200"/>
        <w:rPr>
          <w:rFonts w:ascii="仿宋_GB2312" w:eastAsia="仿宋_GB2312"/>
          <w:sz w:val="32"/>
          <w:szCs w:val="32"/>
        </w:rPr>
      </w:pPr>
      <w:r>
        <w:rPr>
          <w:rFonts w:hint="eastAsia" w:ascii="仿宋_GB2312" w:eastAsia="仿宋_GB2312"/>
          <w:color w:val="000000"/>
          <w:sz w:val="32"/>
          <w:szCs w:val="32"/>
        </w:rPr>
        <w:t>北京市统计发展促进中心</w:t>
      </w:r>
      <w:r>
        <w:rPr>
          <w:rFonts w:hint="eastAsia" w:ascii="仿宋_GB2312" w:eastAsia="仿宋_GB2312"/>
          <w:sz w:val="32"/>
          <w:szCs w:val="32"/>
        </w:rPr>
        <w:t>因公出国（境）费用、公务接待费、公务用车购置和运行维护费开支单位包括1个事业单位。</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ind w:firstLine="555"/>
        <w:rPr>
          <w:rFonts w:ascii="仿宋_GB2312" w:eastAsia="仿宋_GB2312"/>
          <w:sz w:val="32"/>
          <w:szCs w:val="32"/>
        </w:rPr>
      </w:pPr>
      <w:r>
        <w:rPr>
          <w:rFonts w:hint="eastAsia" w:ascii="仿宋_GB2312" w:eastAsia="仿宋_GB2312"/>
          <w:sz w:val="32"/>
          <w:szCs w:val="32"/>
        </w:rPr>
        <w:t>2025年“三公经费”财政拨款预算2.95万元，比2024年“三公经费”财政拨款预算减少0.1万元。其中：</w:t>
      </w:r>
    </w:p>
    <w:p>
      <w:pPr>
        <w:ind w:firstLine="555"/>
        <w:rPr>
          <w:rFonts w:ascii="仿宋_GB2312" w:eastAsia="仿宋_GB2312"/>
          <w:sz w:val="32"/>
          <w:szCs w:val="32"/>
        </w:rPr>
      </w:pPr>
      <w:r>
        <w:rPr>
          <w:rFonts w:hint="eastAsia" w:ascii="仿宋_GB2312" w:eastAsia="仿宋_GB2312"/>
          <w:sz w:val="32"/>
          <w:szCs w:val="32"/>
        </w:rPr>
        <w:t>1.因公出国（境）费用。2025年预算数0万元，与2024年预算数持平。</w:t>
      </w:r>
    </w:p>
    <w:p>
      <w:pPr>
        <w:ind w:firstLine="555"/>
        <w:rPr>
          <w:rFonts w:ascii="仿宋_GB2312" w:eastAsia="仿宋_GB2312"/>
          <w:sz w:val="32"/>
          <w:szCs w:val="32"/>
        </w:rPr>
      </w:pPr>
      <w:r>
        <w:rPr>
          <w:rFonts w:hint="eastAsia" w:ascii="仿宋_GB2312" w:eastAsia="仿宋_GB2312"/>
          <w:sz w:val="32"/>
          <w:szCs w:val="32"/>
        </w:rPr>
        <w:t>2.公务接待费。2025年预算数0万元，与2024年预算数持平。</w:t>
      </w:r>
    </w:p>
    <w:p>
      <w:pPr>
        <w:spacing w:line="540" w:lineRule="exact"/>
        <w:ind w:firstLine="640" w:firstLineChars="200"/>
      </w:pPr>
      <w:r>
        <w:rPr>
          <w:rFonts w:hint="eastAsia" w:ascii="仿宋_GB2312" w:eastAsia="仿宋_GB2312"/>
          <w:sz w:val="32"/>
          <w:szCs w:val="32"/>
        </w:rPr>
        <w:t>3.公务用车购置和运行维护费。2025年预算数2.95万元，其中，公务用车购置费2025年预算数0万元，与2024年持平；公务用车运行维护费2025年预算数2.95万元，其中：公务用车加油1万元，公务用车维修0.70万元，公务用车保险0.75万元，其他支出0.5万元。比2024年预算数3.05万元减少0.1万元。主要原因是为落实过“紧日子”要求，压减预算经费支出。</w:t>
      </w:r>
    </w:p>
    <w:p>
      <w:pPr>
        <w:spacing w:line="540" w:lineRule="exact"/>
        <w:ind w:firstLine="640" w:firstLineChars="200"/>
        <w:rPr>
          <w:rFonts w:ascii="黑体" w:eastAsia="黑体"/>
          <w:sz w:val="32"/>
          <w:szCs w:val="32"/>
        </w:rPr>
      </w:pPr>
      <w:r>
        <w:rPr>
          <w:rFonts w:hint="eastAsia" w:ascii="黑体" w:eastAsia="黑体"/>
          <w:sz w:val="32"/>
          <w:szCs w:val="32"/>
        </w:rPr>
        <w:t>五、其他情况说明</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2025年北京市统计发展促进中心政府采购预算总额127.74万元，其中：政府采购货物预算0万元，政府采购工程预算0万元，政府采购服务预算127.74万元。</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2025年</w:t>
      </w:r>
      <w:r>
        <w:rPr>
          <w:rFonts w:hint="eastAsia" w:ascii="仿宋_GB2312" w:eastAsia="仿宋_GB2312"/>
          <w:sz w:val="32"/>
          <w:szCs w:val="32"/>
        </w:rPr>
        <w:t>北京市统计发展促进中心无</w:t>
      </w:r>
      <w:r>
        <w:rPr>
          <w:rFonts w:hint="eastAsia" w:ascii="仿宋_GB2312" w:eastAsia="仿宋_GB2312"/>
          <w:color w:val="000000"/>
          <w:sz w:val="32"/>
          <w:szCs w:val="32"/>
        </w:rPr>
        <w:t>政府购买服务预算。</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北京市统计发展促进中心不是行政单位（含参照公务员法管理事业单位），不在机关运行经费统计范围内。</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40" w:lineRule="exact"/>
        <w:ind w:firstLine="640" w:firstLineChars="200"/>
        <w:rPr>
          <w:rFonts w:ascii="仿宋_GB2312" w:eastAsia="仿宋_GB2312"/>
          <w:sz w:val="32"/>
        </w:rPr>
      </w:pPr>
      <w:r>
        <w:rPr>
          <w:rFonts w:hint="eastAsia" w:ascii="仿宋_GB2312" w:eastAsia="仿宋_GB2312"/>
          <w:sz w:val="32"/>
          <w:szCs w:val="32"/>
        </w:rPr>
        <w:t>2025年，北京市统计发展促进中心填报绩效目标的预算项目5个，占全部预算项目5个的100%。填报绩效目标的项目支出预算296.46万元，占本部门全部项目支出预算的100%。</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本单位2025年无重点行政事业性收费</w:t>
      </w:r>
      <w:r>
        <w:rPr>
          <w:rFonts w:hint="eastAsia" w:ascii="仿宋_GB2312" w:eastAsia="仿宋_GB2312"/>
          <w:color w:val="000000"/>
          <w:sz w:val="32"/>
          <w:szCs w:val="32"/>
        </w:rPr>
        <w:t>。</w:t>
      </w:r>
    </w:p>
    <w:p>
      <w:pPr>
        <w:spacing w:line="54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pPr>
        <w:spacing w:line="54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w:t>
      </w:r>
      <w:r>
        <w:rPr>
          <w:rFonts w:hint="eastAsia" w:ascii="仿宋_GB2312" w:eastAsia="仿宋_GB2312"/>
          <w:sz w:val="32"/>
          <w:szCs w:val="32"/>
        </w:rPr>
        <w:t>北京市统计发展促进中心</w:t>
      </w:r>
      <w:r>
        <w:rPr>
          <w:rFonts w:hint="eastAsia" w:ascii="仿宋_GB2312" w:eastAsia="仿宋_GB2312"/>
          <w:color w:val="000000"/>
          <w:sz w:val="32"/>
          <w:szCs w:val="32"/>
        </w:rPr>
        <w:t>共有车辆2台，共计32.87万元；单位价值50万元以上的设备0台（套）、共计0万元。2025年预算安排中，购置单位价值50万元以上的设备0台（套），共计0万元。</w:t>
      </w:r>
    </w:p>
    <w:p>
      <w:pPr>
        <w:numPr>
          <w:ilvl w:val="0"/>
          <w:numId w:val="3"/>
        </w:numPr>
        <w:spacing w:line="540" w:lineRule="exact"/>
        <w:ind w:firstLine="640" w:firstLineChars="200"/>
        <w:rPr>
          <w:rFonts w:ascii="黑体" w:eastAsia="黑体"/>
          <w:color w:val="000000"/>
          <w:sz w:val="32"/>
          <w:szCs w:val="32"/>
        </w:rPr>
      </w:pPr>
      <w:r>
        <w:rPr>
          <w:rFonts w:hint="eastAsia" w:ascii="黑体" w:eastAsia="黑体"/>
          <w:color w:val="000000"/>
          <w:sz w:val="32"/>
          <w:szCs w:val="32"/>
        </w:rPr>
        <w:t>名词解释</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40" w:lineRule="exact"/>
        <w:jc w:val="center"/>
        <w:rPr>
          <w:rFonts w:ascii="方正小标宋简体" w:eastAsia="方正小标宋简体"/>
          <w:color w:val="000000"/>
          <w:sz w:val="36"/>
          <w:szCs w:val="36"/>
        </w:rPr>
      </w:pPr>
    </w:p>
    <w:p>
      <w:pPr>
        <w:spacing w:line="54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pPr>
        <w:autoSpaceDE w:val="0"/>
        <w:autoSpaceDN w:val="0"/>
        <w:adjustRightInd w:val="0"/>
        <w:spacing w:line="540" w:lineRule="exact"/>
        <w:jc w:val="left"/>
        <w:rPr>
          <w:rFonts w:ascii="方正小标宋简体" w:eastAsia="方正小标宋简体"/>
          <w:color w:val="000000"/>
          <w:sz w:val="36"/>
          <w:szCs w:val="36"/>
        </w:rPr>
      </w:pP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sz w:val="32"/>
          <w:szCs w:val="32"/>
        </w:rPr>
        <w:t>北京市统计发展促进中心</w:t>
      </w:r>
      <w:r>
        <w:rPr>
          <w:rFonts w:hint="eastAsia" w:ascii="仿宋_GB2312" w:eastAsia="仿宋_GB2312"/>
          <w:color w:val="000000"/>
          <w:sz w:val="32"/>
          <w:szCs w:val="32"/>
        </w:rPr>
        <w:t>2025年度单位预算报表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rPr>
          <w:rFonts w:ascii="仿宋_GB2312" w:eastAsia="仿宋_GB2312"/>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Droid Sans">
    <w:altName w:val="Arial Unicode MS"/>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161852"/>
    <w:multiLevelType w:val="singleLevel"/>
    <w:tmpl w:val="F4161852"/>
    <w:lvl w:ilvl="0" w:tentative="0">
      <w:start w:val="2"/>
      <w:numFmt w:val="chineseCounting"/>
      <w:suff w:val="nothing"/>
      <w:lvlText w:val="（%1）"/>
      <w:lvlJc w:val="left"/>
      <w:rPr>
        <w:rFonts w:hint="eastAsia"/>
      </w:rPr>
    </w:lvl>
  </w:abstractNum>
  <w:abstractNum w:abstractNumId="1">
    <w:nsid w:val="FF2E9D19"/>
    <w:multiLevelType w:val="singleLevel"/>
    <w:tmpl w:val="FF2E9D19"/>
    <w:lvl w:ilvl="0" w:tentative="0">
      <w:start w:val="3"/>
      <w:numFmt w:val="chineseCounting"/>
      <w:suff w:val="nothing"/>
      <w:lvlText w:val="（%1）"/>
      <w:lvlJc w:val="left"/>
      <w:rPr>
        <w:rFonts w:hint="eastAsia"/>
      </w:rPr>
    </w:lvl>
  </w:abstractNum>
  <w:abstractNum w:abstractNumId="2">
    <w:nsid w:val="31EFF581"/>
    <w:multiLevelType w:val="singleLevel"/>
    <w:tmpl w:val="31EFF581"/>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1"/>
  <w:bordersDoNotSurroundFooter w:val="1"/>
  <w:doNotTrackMoves/>
  <w:trackRevisions w:val="1"/>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F79"/>
    <w:rsid w:val="000F7376"/>
    <w:rsid w:val="001752E0"/>
    <w:rsid w:val="00307335"/>
    <w:rsid w:val="0032325C"/>
    <w:rsid w:val="00400D21"/>
    <w:rsid w:val="004A6105"/>
    <w:rsid w:val="004D56D6"/>
    <w:rsid w:val="00514645"/>
    <w:rsid w:val="006C1DF7"/>
    <w:rsid w:val="006F3CD8"/>
    <w:rsid w:val="00797F79"/>
    <w:rsid w:val="00880170"/>
    <w:rsid w:val="008A2E8D"/>
    <w:rsid w:val="0090282F"/>
    <w:rsid w:val="0093726A"/>
    <w:rsid w:val="009F505C"/>
    <w:rsid w:val="00A778D8"/>
    <w:rsid w:val="00D05019"/>
    <w:rsid w:val="00EE6559"/>
    <w:rsid w:val="00FD20F9"/>
    <w:rsid w:val="017D2C76"/>
    <w:rsid w:val="01DE318D"/>
    <w:rsid w:val="093D3760"/>
    <w:rsid w:val="0C0B75A9"/>
    <w:rsid w:val="0E593455"/>
    <w:rsid w:val="0EFFF08B"/>
    <w:rsid w:val="10730CD4"/>
    <w:rsid w:val="1556FFE7"/>
    <w:rsid w:val="1AE4373F"/>
    <w:rsid w:val="1E2F585A"/>
    <w:rsid w:val="1FB9016F"/>
    <w:rsid w:val="1FE6D21C"/>
    <w:rsid w:val="23735A5C"/>
    <w:rsid w:val="254C7041"/>
    <w:rsid w:val="26254695"/>
    <w:rsid w:val="28800AF5"/>
    <w:rsid w:val="2B4E463E"/>
    <w:rsid w:val="2BBE2CDD"/>
    <w:rsid w:val="2F7EA178"/>
    <w:rsid w:val="2FF31CCC"/>
    <w:rsid w:val="33BF5DDC"/>
    <w:rsid w:val="345D7A29"/>
    <w:rsid w:val="37BFBFEE"/>
    <w:rsid w:val="37FD2E23"/>
    <w:rsid w:val="39194FB1"/>
    <w:rsid w:val="3AEE7FDD"/>
    <w:rsid w:val="3B1D5808"/>
    <w:rsid w:val="3B2639C9"/>
    <w:rsid w:val="3BF6504F"/>
    <w:rsid w:val="3BFE8EC0"/>
    <w:rsid w:val="3CCA3B2B"/>
    <w:rsid w:val="3D3B750B"/>
    <w:rsid w:val="3DFB85D7"/>
    <w:rsid w:val="3DFFFEEB"/>
    <w:rsid w:val="3E153DC7"/>
    <w:rsid w:val="3E578A4D"/>
    <w:rsid w:val="3E7746F2"/>
    <w:rsid w:val="3EAFE38B"/>
    <w:rsid w:val="3EFB023F"/>
    <w:rsid w:val="3F5B7215"/>
    <w:rsid w:val="3F6FC1FB"/>
    <w:rsid w:val="3F730350"/>
    <w:rsid w:val="3F76647A"/>
    <w:rsid w:val="3FBA30DB"/>
    <w:rsid w:val="3FBFE16E"/>
    <w:rsid w:val="3FF7F9C0"/>
    <w:rsid w:val="3FFBC816"/>
    <w:rsid w:val="43CF3107"/>
    <w:rsid w:val="4434261B"/>
    <w:rsid w:val="48D44964"/>
    <w:rsid w:val="4CD68066"/>
    <w:rsid w:val="4E67CE40"/>
    <w:rsid w:val="4F6D150F"/>
    <w:rsid w:val="4FEE37C7"/>
    <w:rsid w:val="504B06FB"/>
    <w:rsid w:val="517E78AA"/>
    <w:rsid w:val="53DF3E7F"/>
    <w:rsid w:val="545DF6FA"/>
    <w:rsid w:val="55951F66"/>
    <w:rsid w:val="55DE48F6"/>
    <w:rsid w:val="57ADBE82"/>
    <w:rsid w:val="57E332DD"/>
    <w:rsid w:val="57E9CD93"/>
    <w:rsid w:val="57EB425A"/>
    <w:rsid w:val="59D7A30C"/>
    <w:rsid w:val="5BEE7D82"/>
    <w:rsid w:val="5BFC36A8"/>
    <w:rsid w:val="5F5F35ED"/>
    <w:rsid w:val="5FB4B9F0"/>
    <w:rsid w:val="5FD532B6"/>
    <w:rsid w:val="5FE95128"/>
    <w:rsid w:val="5FFFD6B5"/>
    <w:rsid w:val="639E277B"/>
    <w:rsid w:val="65B005BB"/>
    <w:rsid w:val="66575029"/>
    <w:rsid w:val="667C64F8"/>
    <w:rsid w:val="67BF653D"/>
    <w:rsid w:val="67FBD21B"/>
    <w:rsid w:val="69CDDFC6"/>
    <w:rsid w:val="6AFBD4E9"/>
    <w:rsid w:val="6BFE087F"/>
    <w:rsid w:val="6BFF83C2"/>
    <w:rsid w:val="6C5F4E7D"/>
    <w:rsid w:val="6D3F2E98"/>
    <w:rsid w:val="6DFE07CC"/>
    <w:rsid w:val="6DFFB2B9"/>
    <w:rsid w:val="6ECB6C3E"/>
    <w:rsid w:val="6F3A9571"/>
    <w:rsid w:val="6FCDA027"/>
    <w:rsid w:val="6FDC8289"/>
    <w:rsid w:val="6FF46C02"/>
    <w:rsid w:val="71FF8133"/>
    <w:rsid w:val="729DB731"/>
    <w:rsid w:val="731565CF"/>
    <w:rsid w:val="732F9AB6"/>
    <w:rsid w:val="73A5D6F8"/>
    <w:rsid w:val="73BD6274"/>
    <w:rsid w:val="74FD455A"/>
    <w:rsid w:val="75D907AF"/>
    <w:rsid w:val="763ED7FC"/>
    <w:rsid w:val="767FBCC8"/>
    <w:rsid w:val="76FE24ED"/>
    <w:rsid w:val="77773C62"/>
    <w:rsid w:val="777F4630"/>
    <w:rsid w:val="778770D3"/>
    <w:rsid w:val="77DF7EB6"/>
    <w:rsid w:val="77FABEEF"/>
    <w:rsid w:val="78F52093"/>
    <w:rsid w:val="79006B1B"/>
    <w:rsid w:val="797F48DA"/>
    <w:rsid w:val="79CFCA19"/>
    <w:rsid w:val="7AC837AF"/>
    <w:rsid w:val="7B2E7344"/>
    <w:rsid w:val="7B503CA9"/>
    <w:rsid w:val="7B5B4466"/>
    <w:rsid w:val="7B8DB0E0"/>
    <w:rsid w:val="7BD7C5D4"/>
    <w:rsid w:val="7BDE2E6D"/>
    <w:rsid w:val="7BFAEA32"/>
    <w:rsid w:val="7C9BB5BA"/>
    <w:rsid w:val="7D629DCE"/>
    <w:rsid w:val="7D7E1C9B"/>
    <w:rsid w:val="7DAF9F6F"/>
    <w:rsid w:val="7DDF7761"/>
    <w:rsid w:val="7DFBA975"/>
    <w:rsid w:val="7E7F7957"/>
    <w:rsid w:val="7EBE6155"/>
    <w:rsid w:val="7F3BE6B0"/>
    <w:rsid w:val="7F3F94D5"/>
    <w:rsid w:val="7F3FC408"/>
    <w:rsid w:val="7F7AD461"/>
    <w:rsid w:val="7F9BB94C"/>
    <w:rsid w:val="7FB5D6F6"/>
    <w:rsid w:val="7FBE46C4"/>
    <w:rsid w:val="7FCD88E5"/>
    <w:rsid w:val="7FF59EC3"/>
    <w:rsid w:val="7FF9E7AB"/>
    <w:rsid w:val="7FFA4ACA"/>
    <w:rsid w:val="7FFFFE22"/>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rPr>
      <w:rFonts w:eastAsia="楷体_GB2312"/>
      <w:sz w:val="32"/>
      <w:szCs w:val="20"/>
    </w:rPr>
  </w:style>
  <w:style w:type="paragraph" w:styleId="4">
    <w:name w:val="Balloon Text"/>
    <w:basedOn w:val="1"/>
    <w:link w:val="10"/>
    <w:qFormat/>
    <w:uiPriority w:val="0"/>
    <w:rPr>
      <w:rFonts w:cs="Times New Roman"/>
      <w:sz w:val="18"/>
      <w:szCs w:val="18"/>
    </w:rPr>
  </w:style>
  <w:style w:type="paragraph" w:styleId="5">
    <w:name w:val="footer"/>
    <w:basedOn w:val="1"/>
    <w:link w:val="11"/>
    <w:qFormat/>
    <w:uiPriority w:val="99"/>
    <w:pPr>
      <w:tabs>
        <w:tab w:val="center" w:pos="4153"/>
        <w:tab w:val="right" w:pos="8306"/>
      </w:tabs>
      <w:snapToGrid w:val="0"/>
      <w:jc w:val="left"/>
    </w:pPr>
    <w:rPr>
      <w:rFonts w:cs="Times New Roman"/>
      <w:sz w:val="18"/>
      <w:szCs w:val="20"/>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rFonts w:cs="Times New Roman"/>
      <w:sz w:val="18"/>
      <w:szCs w:val="18"/>
    </w:rPr>
  </w:style>
  <w:style w:type="character" w:styleId="9">
    <w:name w:val="page number"/>
    <w:qFormat/>
    <w:uiPriority w:val="0"/>
  </w:style>
  <w:style w:type="character" w:customStyle="1" w:styleId="10">
    <w:name w:val="批注框文本 Char"/>
    <w:link w:val="4"/>
    <w:qFormat/>
    <w:uiPriority w:val="0"/>
    <w:rPr>
      <w:rFonts w:ascii="Times New Roman" w:hAnsi="Times New Roman"/>
      <w:kern w:val="2"/>
      <w:sz w:val="18"/>
      <w:szCs w:val="18"/>
    </w:rPr>
  </w:style>
  <w:style w:type="character" w:customStyle="1" w:styleId="11">
    <w:name w:val="页脚 Char"/>
    <w:link w:val="5"/>
    <w:qFormat/>
    <w:uiPriority w:val="99"/>
    <w:rPr>
      <w:rFonts w:ascii="Times New Roman" w:hAnsi="Times New Roman"/>
      <w:kern w:val="2"/>
      <w:sz w:val="18"/>
    </w:rPr>
  </w:style>
  <w:style w:type="character" w:customStyle="1" w:styleId="12">
    <w:name w:val="页眉 Char"/>
    <w:link w:val="6"/>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oleObject" Target="embeddings/Workbook2.xls"/><Relationship Id="rId6" Type="http://schemas.openxmlformats.org/officeDocument/2006/relationships/image" Target="media/image1.emf"/><Relationship Id="rId5" Type="http://schemas.openxmlformats.org/officeDocument/2006/relationships/oleObject" Target="embeddings/Workbook1.xls"/><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8</Pages>
  <Words>405</Words>
  <Characters>2315</Characters>
  <Lines>19</Lines>
  <Paragraphs>5</Paragraphs>
  <TotalTime>36</TotalTime>
  <ScaleCrop>false</ScaleCrop>
  <LinksUpToDate>false</LinksUpToDate>
  <CharactersWithSpaces>2715</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2024-02-23T02:12:00Z</dcterms:created>
  <dc:creator>马荣丽</dc:creator>
  <cp:lastModifiedBy>TJJ</cp:lastModifiedBy>
  <cp:lastPrinted>2024-02-21T09:18:00Z</cp:lastPrinted>
  <dcterms:modified xsi:type="dcterms:W3CDTF">2025-02-10T03:06:07Z</dcterms:modified>
  <dc:title>处领导：</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E62FF98B996243FB84EBABA71B21FC80</vt:lpwstr>
  </property>
</Properties>
</file>