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CE1" w:rsidRDefault="00561CE1">
      <w:pPr>
        <w:spacing w:line="560" w:lineRule="exact"/>
        <w:rPr>
          <w:rFonts w:ascii="方正小标宋简体" w:eastAsia="方正小标宋简体"/>
          <w:color w:val="000000"/>
          <w:sz w:val="44"/>
          <w:szCs w:val="44"/>
        </w:rPr>
      </w:pPr>
    </w:p>
    <w:p w:rsidR="00561CE1" w:rsidRDefault="008C24A9">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北京市统计监测评价中心</w:t>
      </w:r>
      <w:r>
        <w:rPr>
          <w:rFonts w:ascii="方正小标宋简体" w:eastAsia="方正小标宋简体" w:hint="eastAsia"/>
          <w:color w:val="000000"/>
          <w:sz w:val="44"/>
          <w:szCs w:val="44"/>
        </w:rPr>
        <w:t>2025</w:t>
      </w:r>
      <w:r>
        <w:rPr>
          <w:rFonts w:ascii="方正小标宋简体" w:eastAsia="方正小标宋简体" w:hint="eastAsia"/>
          <w:color w:val="000000"/>
          <w:sz w:val="44"/>
          <w:szCs w:val="44"/>
        </w:rPr>
        <w:t>年度单位</w:t>
      </w:r>
    </w:p>
    <w:p w:rsidR="00561CE1" w:rsidRDefault="008C24A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44"/>
          <w:szCs w:val="44"/>
        </w:rPr>
        <w:t>预算信息公开</w:t>
      </w:r>
    </w:p>
    <w:p w:rsidR="00561CE1" w:rsidRDefault="00561CE1">
      <w:pPr>
        <w:spacing w:line="560" w:lineRule="exact"/>
        <w:jc w:val="center"/>
        <w:rPr>
          <w:rFonts w:ascii="方正小标宋简体" w:eastAsia="方正小标宋简体"/>
          <w:color w:val="000000"/>
          <w:sz w:val="32"/>
          <w:szCs w:val="32"/>
        </w:rPr>
      </w:pPr>
    </w:p>
    <w:p w:rsidR="00561CE1" w:rsidRDefault="008C24A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561CE1" w:rsidRDefault="00561CE1">
      <w:pPr>
        <w:spacing w:line="560" w:lineRule="exact"/>
        <w:jc w:val="center"/>
        <w:rPr>
          <w:rFonts w:ascii="方正小标宋简体" w:eastAsia="方正小标宋简体"/>
          <w:color w:val="000000"/>
          <w:sz w:val="32"/>
          <w:szCs w:val="32"/>
        </w:rPr>
      </w:pPr>
    </w:p>
    <w:p w:rsidR="00561CE1" w:rsidRDefault="008C24A9">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w:t>
      </w:r>
      <w:r>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年度单位预算情况说明</w:t>
      </w:r>
    </w:p>
    <w:p w:rsidR="00561CE1" w:rsidRDefault="008C24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561CE1" w:rsidRDefault="008C24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561CE1" w:rsidRDefault="008C24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561CE1" w:rsidRDefault="008C24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561CE1" w:rsidRDefault="008C24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561CE1" w:rsidRDefault="008C24A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561CE1" w:rsidRDefault="008C24A9">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w:t>
      </w:r>
      <w:r>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年度单位预算报表</w:t>
      </w:r>
    </w:p>
    <w:p w:rsidR="00561CE1" w:rsidRDefault="008C24A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561CE1" w:rsidRDefault="008C24A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二、收入总表</w:t>
      </w:r>
      <w:r>
        <w:rPr>
          <w:rFonts w:ascii="仿宋_GB2312" w:eastAsia="仿宋_GB2312" w:hAnsi="仿宋_GB2312" w:cs="仿宋_GB2312" w:hint="eastAsia"/>
          <w:color w:val="000000"/>
          <w:kern w:val="0"/>
          <w:sz w:val="32"/>
          <w:szCs w:val="32"/>
          <w:lang w:val="zh-CN"/>
        </w:rPr>
        <w:t xml:space="preserve">    </w:t>
      </w:r>
    </w:p>
    <w:p w:rsidR="00561CE1" w:rsidRDefault="008C24A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561CE1" w:rsidRDefault="008C24A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561CE1" w:rsidRDefault="008C24A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561CE1" w:rsidRDefault="008C24A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561CE1" w:rsidRDefault="008C24A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七、一般公共预算财政拨款支出表</w:t>
      </w:r>
    </w:p>
    <w:p w:rsidR="00561CE1" w:rsidRDefault="008C24A9">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561CE1" w:rsidRDefault="008C24A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561CE1" w:rsidRDefault="008C24A9">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561CE1" w:rsidRDefault="008C24A9">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lastRenderedPageBreak/>
        <w:t>十一、财政拨款</w:t>
      </w:r>
      <w:r>
        <w:rPr>
          <w:rFonts w:ascii="仿宋_GB2312" w:eastAsia="仿宋_GB2312" w:hAnsi="仿宋_GB2312" w:cs="仿宋_GB2312" w:hint="eastAsia"/>
          <w:color w:val="000000"/>
          <w:kern w:val="0"/>
          <w:sz w:val="32"/>
          <w:szCs w:val="32"/>
          <w:lang w:val="zh-CN"/>
        </w:rPr>
        <w:t>“三公”经费支出表</w:t>
      </w:r>
    </w:p>
    <w:p w:rsidR="00561CE1" w:rsidRDefault="008C24A9">
      <w:pPr>
        <w:autoSpaceDE w:val="0"/>
        <w:autoSpaceDN w:val="0"/>
        <w:adjustRightInd w:val="0"/>
        <w:spacing w:line="560" w:lineRule="exact"/>
        <w:ind w:firstLineChars="200" w:firstLine="568"/>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8"/>
          <w:kern w:val="0"/>
          <w:sz w:val="32"/>
          <w:szCs w:val="32"/>
          <w:lang w:val="zh-CN"/>
        </w:rPr>
        <w:t>十</w:t>
      </w:r>
      <w:r>
        <w:rPr>
          <w:rFonts w:ascii="仿宋_GB2312" w:eastAsia="仿宋_GB2312" w:hAnsi="仿宋_GB2312" w:cs="仿宋_GB2312" w:hint="eastAsia"/>
          <w:color w:val="000000"/>
          <w:kern w:val="0"/>
          <w:sz w:val="32"/>
          <w:szCs w:val="32"/>
          <w:lang w:val="zh-CN"/>
        </w:rPr>
        <w:t>二、政府购买服务预算财政拨款明细表</w:t>
      </w:r>
    </w:p>
    <w:p w:rsidR="00561CE1" w:rsidRDefault="008C24A9">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lang w:val="zh-CN"/>
        </w:rPr>
        <w:t>十三、项目支出绩效目标表</w:t>
      </w: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561CE1">
      <w:pPr>
        <w:spacing w:line="560" w:lineRule="exact"/>
        <w:jc w:val="center"/>
        <w:rPr>
          <w:rFonts w:ascii="方正小标宋简体" w:eastAsia="方正小标宋简体"/>
          <w:color w:val="000000"/>
          <w:sz w:val="36"/>
          <w:szCs w:val="36"/>
        </w:rPr>
      </w:pPr>
    </w:p>
    <w:p w:rsidR="00561CE1" w:rsidRDefault="008C24A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w:t>
      </w:r>
      <w:r>
        <w:rPr>
          <w:rFonts w:ascii="方正小标宋简体" w:eastAsia="方正小标宋简体" w:hint="eastAsia"/>
          <w:color w:val="000000"/>
          <w:sz w:val="36"/>
          <w:szCs w:val="36"/>
        </w:rPr>
        <w:t xml:space="preserve">  2025</w:t>
      </w:r>
      <w:r>
        <w:rPr>
          <w:rFonts w:ascii="方正小标宋简体" w:eastAsia="方正小标宋简体" w:hint="eastAsia"/>
          <w:color w:val="000000"/>
          <w:sz w:val="36"/>
          <w:szCs w:val="36"/>
        </w:rPr>
        <w:t>年度单位预算情况说明</w:t>
      </w:r>
    </w:p>
    <w:p w:rsidR="00561CE1" w:rsidRDefault="00561CE1">
      <w:pPr>
        <w:spacing w:line="560" w:lineRule="exact"/>
        <w:rPr>
          <w:rFonts w:ascii="仿宋_GB2312" w:eastAsia="仿宋_GB2312"/>
          <w:color w:val="000000"/>
          <w:sz w:val="32"/>
          <w:szCs w:val="32"/>
        </w:rPr>
      </w:pPr>
    </w:p>
    <w:p w:rsidR="00561CE1" w:rsidRDefault="008C24A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561CE1" w:rsidRDefault="008C24A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561CE1" w:rsidRDefault="008C24A9">
      <w:pPr>
        <w:spacing w:line="560" w:lineRule="exact"/>
        <w:ind w:firstLineChars="200" w:firstLine="640"/>
      </w:pPr>
      <w:r>
        <w:rPr>
          <w:rFonts w:ascii="仿宋_GB2312" w:eastAsia="仿宋_GB2312" w:hint="eastAsia"/>
          <w:sz w:val="32"/>
          <w:szCs w:val="32"/>
        </w:rPr>
        <w:t>根据</w:t>
      </w:r>
      <w:r>
        <w:rPr>
          <w:rFonts w:ascii="仿宋_GB2312" w:eastAsia="仿宋_GB2312" w:hAnsi="楷体" w:hint="eastAsia"/>
          <w:sz w:val="32"/>
          <w:szCs w:val="32"/>
        </w:rPr>
        <w:t>北京市机构编制委员会相关文件</w:t>
      </w:r>
      <w:r>
        <w:rPr>
          <w:rFonts w:ascii="仿宋_GB2312" w:eastAsia="仿宋_GB2312" w:hint="eastAsia"/>
          <w:sz w:val="32"/>
          <w:szCs w:val="32"/>
        </w:rPr>
        <w:t>，北京市统计监测评价中心是</w:t>
      </w:r>
      <w:r>
        <w:rPr>
          <w:rFonts w:ascii="仿宋_GB2312" w:eastAsia="仿宋_GB2312" w:hint="eastAsia"/>
          <w:color w:val="000000"/>
          <w:sz w:val="32"/>
          <w:szCs w:val="32"/>
        </w:rPr>
        <w:t>北京市统计局下属二级单位。</w:t>
      </w:r>
      <w:r>
        <w:rPr>
          <w:rFonts w:ascii="仿宋_GB2312" w:eastAsia="仿宋_GB2312" w:hint="eastAsia"/>
          <w:sz w:val="32"/>
          <w:szCs w:val="32"/>
        </w:rPr>
        <w:t>为正处级公益一类事业单位。主要职责为：承担本市经济社会运行状况及特定领域的监测评价分析、统计资料开发应用等事务性工作。</w:t>
      </w:r>
    </w:p>
    <w:p w:rsidR="00561CE1" w:rsidRDefault="008C24A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北京市统计监测评价中心内设机构</w:t>
      </w:r>
      <w:r>
        <w:rPr>
          <w:rFonts w:ascii="仿宋_GB2312" w:eastAsia="仿宋_GB2312" w:hint="eastAsia"/>
          <w:color w:val="000000"/>
          <w:sz w:val="32"/>
          <w:szCs w:val="32"/>
        </w:rPr>
        <w:t>3</w:t>
      </w:r>
      <w:r>
        <w:rPr>
          <w:rFonts w:ascii="仿宋_GB2312" w:eastAsia="仿宋_GB2312" w:hint="eastAsia"/>
          <w:color w:val="000000"/>
          <w:sz w:val="32"/>
          <w:szCs w:val="32"/>
        </w:rPr>
        <w:t>个，分别为：办公室、监测评价一科、监测评价二科。无下属单位。</w:t>
      </w:r>
    </w:p>
    <w:p w:rsidR="00561CE1" w:rsidRDefault="008C24A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北京市统计监测评价中心行政编制</w:t>
      </w:r>
      <w:r>
        <w:rPr>
          <w:rFonts w:ascii="仿宋_GB2312" w:eastAsia="仿宋_GB2312" w:hint="eastAsia"/>
          <w:color w:val="000000"/>
          <w:sz w:val="32"/>
          <w:szCs w:val="32"/>
        </w:rPr>
        <w:t>0</w:t>
      </w:r>
      <w:r>
        <w:rPr>
          <w:rFonts w:ascii="仿宋_GB2312" w:eastAsia="仿宋_GB2312" w:hint="eastAsia"/>
          <w:color w:val="000000"/>
          <w:sz w:val="32"/>
          <w:szCs w:val="32"/>
        </w:rPr>
        <w:t>人，实际</w:t>
      </w:r>
      <w:r>
        <w:rPr>
          <w:rFonts w:ascii="仿宋_GB2312" w:eastAsia="仿宋_GB2312" w:hint="eastAsia"/>
          <w:color w:val="000000"/>
          <w:sz w:val="32"/>
          <w:szCs w:val="32"/>
        </w:rPr>
        <w:t>0</w:t>
      </w:r>
      <w:r>
        <w:rPr>
          <w:rFonts w:ascii="仿宋_GB2312" w:eastAsia="仿宋_GB2312" w:hint="eastAsia"/>
          <w:color w:val="000000"/>
          <w:sz w:val="32"/>
          <w:szCs w:val="32"/>
        </w:rPr>
        <w:t>人；事业编制</w:t>
      </w:r>
      <w:r>
        <w:rPr>
          <w:rFonts w:ascii="仿宋_GB2312" w:eastAsia="仿宋_GB2312" w:hint="eastAsia"/>
          <w:color w:val="000000"/>
          <w:sz w:val="32"/>
          <w:szCs w:val="32"/>
        </w:rPr>
        <w:t>20</w:t>
      </w:r>
      <w:r>
        <w:rPr>
          <w:rFonts w:ascii="仿宋_GB2312" w:eastAsia="仿宋_GB2312" w:hint="eastAsia"/>
          <w:color w:val="000000"/>
          <w:sz w:val="32"/>
          <w:szCs w:val="32"/>
        </w:rPr>
        <w:t>人，实际</w:t>
      </w:r>
      <w:r>
        <w:rPr>
          <w:rFonts w:ascii="仿宋_GB2312" w:eastAsia="仿宋_GB2312" w:hint="eastAsia"/>
          <w:color w:val="000000"/>
          <w:sz w:val="32"/>
          <w:szCs w:val="32"/>
        </w:rPr>
        <w:t>11</w:t>
      </w:r>
      <w:r>
        <w:rPr>
          <w:rFonts w:ascii="仿宋_GB2312" w:eastAsia="仿宋_GB2312" w:hint="eastAsia"/>
          <w:color w:val="000000"/>
          <w:sz w:val="32"/>
          <w:szCs w:val="32"/>
        </w:rPr>
        <w:t>人。</w:t>
      </w:r>
      <w:r>
        <w:rPr>
          <w:rFonts w:ascii="仿宋_GB2312" w:eastAsia="仿宋_GB2312" w:hint="eastAsia"/>
          <w:color w:val="000000"/>
          <w:sz w:val="32"/>
          <w:szCs w:val="32"/>
        </w:rPr>
        <w:t>离退休人员</w:t>
      </w:r>
      <w:r>
        <w:rPr>
          <w:rFonts w:ascii="仿宋_GB2312" w:eastAsia="仿宋_GB2312" w:hint="eastAsia"/>
          <w:color w:val="000000"/>
          <w:sz w:val="32"/>
          <w:szCs w:val="32"/>
        </w:rPr>
        <w:t>0</w:t>
      </w:r>
      <w:r>
        <w:rPr>
          <w:rFonts w:ascii="仿宋_GB2312" w:eastAsia="仿宋_GB2312" w:hint="eastAsia"/>
          <w:color w:val="000000"/>
          <w:sz w:val="32"/>
          <w:szCs w:val="32"/>
        </w:rPr>
        <w:t>人，其中：离休</w:t>
      </w:r>
      <w:r>
        <w:rPr>
          <w:rFonts w:ascii="仿宋_GB2312" w:eastAsia="仿宋_GB2312" w:hint="eastAsia"/>
          <w:color w:val="000000"/>
          <w:sz w:val="32"/>
          <w:szCs w:val="32"/>
        </w:rPr>
        <w:t>0</w:t>
      </w:r>
      <w:r>
        <w:rPr>
          <w:rFonts w:ascii="仿宋_GB2312" w:eastAsia="仿宋_GB2312" w:hint="eastAsia"/>
          <w:color w:val="000000"/>
          <w:sz w:val="32"/>
          <w:szCs w:val="32"/>
        </w:rPr>
        <w:t>人，退休</w:t>
      </w:r>
      <w:r>
        <w:rPr>
          <w:rFonts w:ascii="仿宋_GB2312" w:eastAsia="仿宋_GB2312" w:hint="eastAsia"/>
          <w:color w:val="000000"/>
          <w:sz w:val="32"/>
          <w:szCs w:val="32"/>
        </w:rPr>
        <w:t>0</w:t>
      </w:r>
      <w:r>
        <w:rPr>
          <w:rFonts w:ascii="仿宋_GB2312" w:eastAsia="仿宋_GB2312" w:hint="eastAsia"/>
          <w:color w:val="000000"/>
          <w:sz w:val="32"/>
          <w:szCs w:val="32"/>
        </w:rPr>
        <w:t>人。</w:t>
      </w:r>
    </w:p>
    <w:p w:rsidR="00561CE1" w:rsidRDefault="008C24A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年度收入预算</w:t>
      </w:r>
      <w:r>
        <w:rPr>
          <w:rFonts w:ascii="仿宋_GB2312" w:eastAsia="仿宋_GB2312" w:hint="eastAsia"/>
          <w:sz w:val="32"/>
          <w:szCs w:val="32"/>
        </w:rPr>
        <w:t>559.38</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508.07</w:t>
      </w:r>
      <w:r>
        <w:rPr>
          <w:rFonts w:ascii="仿宋_GB2312" w:eastAsia="仿宋_GB2312" w:hint="eastAsia"/>
          <w:sz w:val="32"/>
          <w:szCs w:val="32"/>
        </w:rPr>
        <w:t>万元增加</w:t>
      </w:r>
      <w:r>
        <w:rPr>
          <w:rFonts w:ascii="仿宋_GB2312" w:eastAsia="仿宋_GB2312" w:hint="eastAsia"/>
          <w:sz w:val="32"/>
          <w:szCs w:val="32"/>
        </w:rPr>
        <w:t>51.31</w:t>
      </w:r>
      <w:r>
        <w:rPr>
          <w:rFonts w:ascii="仿宋_GB2312" w:eastAsia="仿宋_GB2312" w:hint="eastAsia"/>
          <w:sz w:val="32"/>
          <w:szCs w:val="32"/>
        </w:rPr>
        <w:t>万元，增长</w:t>
      </w:r>
      <w:r>
        <w:rPr>
          <w:rFonts w:ascii="仿宋_GB2312" w:eastAsia="仿宋_GB2312" w:hint="eastAsia"/>
          <w:sz w:val="32"/>
          <w:szCs w:val="32"/>
        </w:rPr>
        <w:t>10.1</w:t>
      </w:r>
      <w:r w:rsidR="00EB56E7">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。主要原因是在职人员晋级晋档等。</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仿宋_GB2312" w:eastAsia="仿宋_GB2312" w:hint="eastAsia"/>
          <w:sz w:val="32"/>
          <w:szCs w:val="32"/>
        </w:rPr>
        <w:t>554.66</w:t>
      </w:r>
      <w:r>
        <w:rPr>
          <w:rFonts w:ascii="仿宋_GB2312" w:eastAsia="仿宋_GB2312" w:hint="eastAsia"/>
          <w:sz w:val="32"/>
          <w:szCs w:val="32"/>
        </w:rPr>
        <w:t>万</w:t>
      </w:r>
      <w:r>
        <w:rPr>
          <w:rFonts w:ascii="楷体_GB2312" w:eastAsia="楷体_GB2312" w:hint="eastAsia"/>
          <w:sz w:val="32"/>
          <w:szCs w:val="32"/>
        </w:rPr>
        <w:t>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一般公共预算拨款收入</w:t>
      </w:r>
      <w:r>
        <w:rPr>
          <w:rFonts w:ascii="仿宋_GB2312" w:eastAsia="仿宋_GB2312" w:hint="eastAsia"/>
          <w:sz w:val="32"/>
          <w:szCs w:val="32"/>
        </w:rPr>
        <w:t>554.66</w:t>
      </w:r>
      <w:r>
        <w:rPr>
          <w:rFonts w:ascii="仿宋_GB2312" w:eastAsia="仿宋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政府性基金预算拨款收入</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国有资本经营预算拨款收入</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hint="eastAsia"/>
          <w:sz w:val="32"/>
          <w:szCs w:val="32"/>
        </w:rPr>
        <w:t>0</w:t>
      </w:r>
      <w:r>
        <w:rPr>
          <w:rFonts w:ascii="楷体_GB2312" w:eastAsia="楷体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4.</w:t>
      </w:r>
      <w:r>
        <w:rPr>
          <w:rFonts w:ascii="仿宋_GB2312" w:eastAsia="仿宋_GB2312" w:hint="eastAsia"/>
          <w:sz w:val="32"/>
          <w:szCs w:val="32"/>
        </w:rPr>
        <w:t>财政专户管理资金收入</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事业收入</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上级补助收入</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附属单位上缴收入</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事业单位经营收入</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其他收入</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hint="eastAsia"/>
          <w:sz w:val="32"/>
          <w:szCs w:val="32"/>
        </w:rPr>
        <w:t>4.72</w:t>
      </w:r>
      <w:r>
        <w:rPr>
          <w:rFonts w:ascii="楷体_GB2312" w:eastAsia="楷体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上年结转结余</w:t>
      </w:r>
      <w:r>
        <w:rPr>
          <w:rFonts w:ascii="仿宋_GB2312" w:eastAsia="仿宋_GB2312" w:hint="eastAsia"/>
          <w:sz w:val="32"/>
          <w:szCs w:val="32"/>
        </w:rPr>
        <w:t>4.72</w:t>
      </w:r>
      <w:r>
        <w:rPr>
          <w:rFonts w:ascii="仿宋_GB2312" w:eastAsia="仿宋_GB2312" w:hint="eastAsia"/>
          <w:sz w:val="32"/>
          <w:szCs w:val="32"/>
        </w:rPr>
        <w:t>万元。</w:t>
      </w:r>
    </w:p>
    <w:p w:rsidR="00561CE1" w:rsidRDefault="008C24A9">
      <w:pPr>
        <w:pStyle w:val="2"/>
        <w:jc w:val="center"/>
      </w:pPr>
      <w:r>
        <w:rPr>
          <w:noProof/>
        </w:rPr>
        <w:drawing>
          <wp:inline distT="0" distB="0" distL="0" distR="0">
            <wp:extent cx="4000500" cy="2505075"/>
            <wp:effectExtent l="4445" t="5080" r="14605" b="4445"/>
            <wp:docPr id="2" name="对象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61CE1" w:rsidRDefault="008C24A9">
      <w:pPr>
        <w:pStyle w:val="2"/>
        <w:jc w:val="center"/>
        <w:rPr>
          <w:rFonts w:ascii="仿宋_GB2312" w:eastAsia="仿宋_GB2312"/>
          <w:b w:val="0"/>
          <w:bCs w:val="0"/>
          <w:sz w:val="32"/>
        </w:rPr>
      </w:pPr>
      <w:r>
        <w:rPr>
          <w:rFonts w:ascii="仿宋_GB2312" w:eastAsia="仿宋_GB2312" w:hint="eastAsia"/>
          <w:sz w:val="32"/>
        </w:rPr>
        <w:t>图</w:t>
      </w:r>
      <w:r>
        <w:rPr>
          <w:rFonts w:ascii="仿宋_GB2312" w:eastAsia="仿宋_GB2312" w:hint="eastAsia"/>
          <w:sz w:val="32"/>
        </w:rPr>
        <w:t>1</w:t>
      </w:r>
      <w:r>
        <w:rPr>
          <w:rFonts w:ascii="仿宋_GB2312" w:eastAsia="仿宋_GB2312" w:hint="eastAsia"/>
          <w:sz w:val="32"/>
        </w:rPr>
        <w:t>：收入预算</w:t>
      </w:r>
    </w:p>
    <w:p w:rsidR="00561CE1" w:rsidRDefault="008C24A9">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561CE1" w:rsidRDefault="008C24A9">
      <w:pPr>
        <w:spacing w:line="560" w:lineRule="exact"/>
        <w:ind w:firstLineChars="200" w:firstLine="640"/>
        <w:rPr>
          <w:rFonts w:ascii="楷体_GB2312" w:eastAsia="楷体_GB2312" w:hAnsi="楷体_GB2312" w:cs="楷体_GB2312"/>
          <w:sz w:val="32"/>
          <w:szCs w:val="32"/>
        </w:rPr>
      </w:pPr>
      <w:r>
        <w:rPr>
          <w:rFonts w:ascii="仿宋_GB2312" w:eastAsia="仿宋_GB2312" w:hint="eastAsia"/>
          <w:sz w:val="32"/>
          <w:szCs w:val="32"/>
        </w:rPr>
        <w:t>2025</w:t>
      </w:r>
      <w:r>
        <w:rPr>
          <w:rFonts w:ascii="仿宋_GB2312" w:eastAsia="仿宋_GB2312" w:hint="eastAsia"/>
          <w:sz w:val="32"/>
          <w:szCs w:val="32"/>
        </w:rPr>
        <w:t>年支出预算</w:t>
      </w:r>
      <w:r>
        <w:rPr>
          <w:rFonts w:ascii="仿宋_GB2312" w:eastAsia="仿宋_GB2312" w:hint="eastAsia"/>
          <w:sz w:val="32"/>
          <w:szCs w:val="32"/>
        </w:rPr>
        <w:t>559.38</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508.07</w:t>
      </w:r>
      <w:r>
        <w:rPr>
          <w:rFonts w:ascii="仿宋_GB2312" w:eastAsia="仿宋_GB2312" w:hint="eastAsia"/>
          <w:sz w:val="32"/>
          <w:szCs w:val="32"/>
        </w:rPr>
        <w:t>万元增加</w:t>
      </w:r>
      <w:r>
        <w:rPr>
          <w:rFonts w:ascii="仿宋_GB2312" w:eastAsia="仿宋_GB2312" w:hint="eastAsia"/>
          <w:sz w:val="32"/>
          <w:szCs w:val="32"/>
        </w:rPr>
        <w:t>51.31</w:t>
      </w:r>
      <w:r>
        <w:rPr>
          <w:rFonts w:ascii="仿宋_GB2312" w:eastAsia="仿宋_GB2312" w:hint="eastAsia"/>
          <w:sz w:val="32"/>
          <w:szCs w:val="32"/>
        </w:rPr>
        <w:t>万元，增长</w:t>
      </w:r>
      <w:r>
        <w:rPr>
          <w:rFonts w:ascii="仿宋_GB2312" w:eastAsia="仿宋_GB2312" w:hint="eastAsia"/>
          <w:sz w:val="32"/>
          <w:szCs w:val="32"/>
        </w:rPr>
        <w:t>10.10%</w:t>
      </w:r>
      <w:r>
        <w:rPr>
          <w:rFonts w:ascii="仿宋_GB2312" w:eastAsia="仿宋_GB2312" w:hint="eastAsia"/>
          <w:sz w:val="32"/>
          <w:szCs w:val="32"/>
        </w:rPr>
        <w:t>。主要原因是在职人员晋级晋档等。</w:t>
      </w:r>
    </w:p>
    <w:p w:rsidR="00561CE1" w:rsidRDefault="008C24A9">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hint="eastAsia"/>
          <w:sz w:val="32"/>
          <w:szCs w:val="32"/>
        </w:rPr>
        <w:t>556.16</w:t>
      </w:r>
      <w:r>
        <w:rPr>
          <w:rFonts w:ascii="仿宋_GB2312" w:eastAsia="仿宋_GB2312" w:hint="eastAsia"/>
          <w:sz w:val="32"/>
          <w:szCs w:val="32"/>
        </w:rPr>
        <w:t>万元，占总支出预算</w:t>
      </w:r>
      <w:r>
        <w:rPr>
          <w:rFonts w:ascii="仿宋_GB2312" w:eastAsia="仿宋_GB2312" w:hint="eastAsia"/>
          <w:sz w:val="32"/>
          <w:szCs w:val="32"/>
        </w:rPr>
        <w:t>99.42%</w:t>
      </w:r>
      <w:r>
        <w:rPr>
          <w:rFonts w:ascii="仿宋_GB2312" w:eastAsia="仿宋_GB2312" w:hint="eastAsia"/>
          <w:sz w:val="32"/>
          <w:szCs w:val="32"/>
        </w:rPr>
        <w:t>，比</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sz w:val="32"/>
          <w:szCs w:val="32"/>
        </w:rPr>
        <w:t>508.07</w:t>
      </w:r>
      <w:r>
        <w:rPr>
          <w:rFonts w:ascii="仿宋_GB2312" w:eastAsia="仿宋_GB2312" w:hint="eastAsia"/>
          <w:sz w:val="32"/>
          <w:szCs w:val="32"/>
        </w:rPr>
        <w:t>万元增加</w:t>
      </w:r>
      <w:r>
        <w:rPr>
          <w:rFonts w:ascii="仿宋_GB2312" w:eastAsia="仿宋_GB2312" w:hint="eastAsia"/>
          <w:sz w:val="32"/>
          <w:szCs w:val="32"/>
        </w:rPr>
        <w:t>48.09</w:t>
      </w:r>
      <w:r>
        <w:rPr>
          <w:rFonts w:ascii="仿宋_GB2312" w:eastAsia="仿宋_GB2312" w:hint="eastAsia"/>
          <w:sz w:val="32"/>
          <w:szCs w:val="32"/>
        </w:rPr>
        <w:lastRenderedPageBreak/>
        <w:t>万元，增长</w:t>
      </w:r>
      <w:r>
        <w:rPr>
          <w:rFonts w:ascii="仿宋_GB2312" w:eastAsia="仿宋_GB2312" w:hint="eastAsia"/>
          <w:sz w:val="32"/>
          <w:szCs w:val="32"/>
        </w:rPr>
        <w:t>9.47%</w:t>
      </w:r>
      <w:r>
        <w:rPr>
          <w:rFonts w:ascii="仿宋_GB2312" w:eastAsia="仿宋_GB2312" w:hint="eastAsia"/>
          <w:sz w:val="32"/>
          <w:szCs w:val="32"/>
        </w:rPr>
        <w:t>。</w:t>
      </w:r>
    </w:p>
    <w:p w:rsidR="00561CE1" w:rsidRDefault="008C24A9">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w:t>
      </w:r>
      <w:bookmarkStart w:id="0" w:name="_GoBack"/>
      <w:bookmarkEnd w:id="0"/>
      <w:r>
        <w:rPr>
          <w:rFonts w:ascii="仿宋_GB2312" w:eastAsia="仿宋_GB2312" w:hint="eastAsia"/>
          <w:sz w:val="32"/>
          <w:szCs w:val="32"/>
        </w:rPr>
        <w:t>预算</w:t>
      </w:r>
      <w:r>
        <w:rPr>
          <w:rFonts w:ascii="仿宋_GB2312" w:eastAsia="仿宋_GB2312" w:hint="eastAsia"/>
          <w:color w:val="000000"/>
          <w:sz w:val="32"/>
          <w:szCs w:val="32"/>
        </w:rPr>
        <w:t>0</w:t>
      </w:r>
      <w:r>
        <w:rPr>
          <w:rFonts w:ascii="仿宋_GB2312" w:eastAsia="仿宋_GB2312" w:hint="eastAsia"/>
          <w:sz w:val="32"/>
          <w:szCs w:val="32"/>
        </w:rPr>
        <w:t>万元，与</w:t>
      </w:r>
      <w:r>
        <w:rPr>
          <w:rFonts w:ascii="仿宋_GB2312" w:eastAsia="仿宋_GB2312" w:hint="eastAsia"/>
          <w:sz w:val="32"/>
          <w:szCs w:val="32"/>
        </w:rPr>
        <w:t>2024</w:t>
      </w:r>
      <w:r>
        <w:rPr>
          <w:rFonts w:ascii="仿宋_GB2312" w:eastAsia="仿宋_GB2312" w:hint="eastAsia"/>
          <w:sz w:val="32"/>
          <w:szCs w:val="32"/>
        </w:rPr>
        <w:t>年年初预算数</w:t>
      </w:r>
      <w:r>
        <w:rPr>
          <w:rFonts w:ascii="仿宋_GB2312" w:eastAsia="仿宋_GB2312" w:hint="eastAsia"/>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持平</w:t>
      </w:r>
      <w:r>
        <w:rPr>
          <w:rFonts w:ascii="仿宋_GB2312" w:eastAsia="仿宋_GB2312" w:hint="eastAsia"/>
          <w:sz w:val="32"/>
          <w:szCs w:val="32"/>
        </w:rPr>
        <w:t>。其中：</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事业单位经营支出</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上缴上级支出</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对附属单位补助支出</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pStyle w:val="2"/>
        <w:ind w:firstLine="642"/>
        <w:jc w:val="center"/>
      </w:pPr>
      <w:r>
        <w:rPr>
          <w:noProof/>
        </w:rPr>
        <w:drawing>
          <wp:inline distT="0" distB="0" distL="0" distR="0">
            <wp:extent cx="3790950" cy="2518410"/>
            <wp:effectExtent l="19050" t="0" r="19050" b="0"/>
            <wp:docPr id="7" name="对象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61CE1" w:rsidRDefault="008C24A9">
      <w:pPr>
        <w:pStyle w:val="2"/>
        <w:ind w:firstLine="642"/>
        <w:jc w:val="center"/>
      </w:pPr>
      <w:r>
        <w:rPr>
          <w:rFonts w:ascii="仿宋_GB2312" w:eastAsia="仿宋_GB2312" w:hint="eastAsia"/>
          <w:sz w:val="32"/>
        </w:rPr>
        <w:t>图</w:t>
      </w:r>
      <w:r>
        <w:rPr>
          <w:rFonts w:ascii="仿宋_GB2312" w:eastAsia="仿宋_GB2312" w:hint="eastAsia"/>
          <w:sz w:val="32"/>
        </w:rPr>
        <w:t>2</w:t>
      </w:r>
      <w:r>
        <w:rPr>
          <w:rFonts w:ascii="仿宋_GB2312" w:eastAsia="仿宋_GB2312" w:hint="eastAsia"/>
          <w:sz w:val="32"/>
        </w:rPr>
        <w:t>：基本支出和项目支出情况</w:t>
      </w:r>
    </w:p>
    <w:p w:rsidR="00561CE1" w:rsidRDefault="008C24A9">
      <w:pPr>
        <w:numPr>
          <w:ilvl w:val="0"/>
          <w:numId w:val="1"/>
        </w:numPr>
        <w:spacing w:line="56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w:t>
      </w:r>
      <w:r>
        <w:rPr>
          <w:rFonts w:ascii="仿宋_GB2312" w:eastAsia="仿宋_GB2312" w:hint="eastAsia"/>
          <w:sz w:val="32"/>
          <w:szCs w:val="32"/>
        </w:rPr>
        <w:t>3.22</w:t>
      </w:r>
      <w:r>
        <w:rPr>
          <w:rFonts w:ascii="楷体_GB2312" w:eastAsia="楷体_GB2312" w:hAnsi="楷体_GB2312" w:cs="楷体_GB2312" w:hint="eastAsia"/>
          <w:color w:val="000000"/>
          <w:sz w:val="32"/>
          <w:szCs w:val="32"/>
        </w:rPr>
        <w:t>万元</w:t>
      </w:r>
    </w:p>
    <w:p w:rsidR="00561CE1" w:rsidRDefault="008C24A9">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561CE1" w:rsidRDefault="008C24A9">
      <w:pPr>
        <w:spacing w:line="560" w:lineRule="exact"/>
        <w:ind w:firstLine="555"/>
        <w:rPr>
          <w:rFonts w:ascii="仿宋_GB2312" w:eastAsia="仿宋_GB2312"/>
          <w:sz w:val="32"/>
          <w:szCs w:val="32"/>
        </w:rPr>
      </w:pPr>
      <w:r>
        <w:rPr>
          <w:rFonts w:ascii="仿宋_GB2312" w:eastAsia="仿宋_GB2312" w:hint="eastAsia"/>
          <w:sz w:val="32"/>
          <w:szCs w:val="32"/>
        </w:rPr>
        <w:t>北京市统计监测评价中心因公出国（境）费用、公务接待费、公务用车购置和运行维护费开支单位包括</w:t>
      </w:r>
      <w:r>
        <w:rPr>
          <w:rFonts w:ascii="仿宋_GB2312" w:eastAsia="仿宋_GB2312" w:hint="eastAsia"/>
          <w:sz w:val="32"/>
          <w:szCs w:val="32"/>
        </w:rPr>
        <w:t>1</w:t>
      </w:r>
      <w:r>
        <w:rPr>
          <w:rFonts w:ascii="仿宋_GB2312" w:eastAsia="仿宋_GB2312" w:hint="eastAsia"/>
          <w:sz w:val="32"/>
          <w:szCs w:val="32"/>
        </w:rPr>
        <w:t>个所属单位。</w:t>
      </w:r>
    </w:p>
    <w:p w:rsidR="00561CE1" w:rsidRDefault="008C24A9">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rsidR="00561CE1" w:rsidRDefault="008C24A9">
      <w:pPr>
        <w:spacing w:line="560" w:lineRule="exact"/>
        <w:ind w:firstLine="555"/>
        <w:rPr>
          <w:rFonts w:ascii="仿宋_GB2312" w:eastAsia="仿宋_GB2312"/>
          <w:sz w:val="32"/>
          <w:szCs w:val="32"/>
        </w:rPr>
      </w:pPr>
      <w:r>
        <w:rPr>
          <w:rFonts w:ascii="仿宋_GB2312" w:eastAsia="仿宋_GB2312" w:hint="eastAsia"/>
          <w:sz w:val="32"/>
          <w:szCs w:val="32"/>
        </w:rPr>
        <w:t>2025</w:t>
      </w:r>
      <w:r>
        <w:rPr>
          <w:rFonts w:ascii="仿宋_GB2312" w:eastAsia="仿宋_GB2312" w:hint="eastAsia"/>
          <w:sz w:val="32"/>
          <w:szCs w:val="32"/>
        </w:rPr>
        <w:t>年“三公经费”财政拨款预算</w:t>
      </w:r>
      <w:r>
        <w:rPr>
          <w:rFonts w:ascii="仿宋_GB2312" w:eastAsia="仿宋_GB2312" w:hint="eastAsia"/>
          <w:sz w:val="32"/>
          <w:szCs w:val="32"/>
        </w:rPr>
        <w:t>1.4</w:t>
      </w:r>
      <w:r>
        <w:rPr>
          <w:rFonts w:ascii="仿宋_GB2312" w:eastAsia="仿宋_GB2312" w:hint="eastAsia"/>
          <w:sz w:val="32"/>
          <w:szCs w:val="32"/>
        </w:rPr>
        <w:t>万元，比</w:t>
      </w:r>
      <w:r>
        <w:rPr>
          <w:rFonts w:ascii="仿宋_GB2312" w:eastAsia="仿宋_GB2312" w:hint="eastAsia"/>
          <w:sz w:val="32"/>
          <w:szCs w:val="32"/>
        </w:rPr>
        <w:t>2024</w:t>
      </w:r>
      <w:r>
        <w:rPr>
          <w:rFonts w:ascii="仿宋_GB2312" w:eastAsia="仿宋_GB2312" w:hint="eastAsia"/>
          <w:sz w:val="32"/>
          <w:szCs w:val="32"/>
        </w:rPr>
        <w:lastRenderedPageBreak/>
        <w:t>年财政拨款“三公”经费预算减少</w:t>
      </w:r>
      <w:r>
        <w:rPr>
          <w:rFonts w:ascii="仿宋_GB2312" w:eastAsia="仿宋_GB2312" w:hint="eastAsia"/>
          <w:sz w:val="32"/>
          <w:szCs w:val="32"/>
        </w:rPr>
        <w:t>1</w:t>
      </w:r>
      <w:r>
        <w:rPr>
          <w:rFonts w:ascii="仿宋_GB2312" w:eastAsia="仿宋_GB2312" w:hint="eastAsia"/>
          <w:sz w:val="32"/>
          <w:szCs w:val="32"/>
        </w:rPr>
        <w:t>万元。其中：</w:t>
      </w:r>
    </w:p>
    <w:p w:rsidR="00561CE1" w:rsidRDefault="008C24A9">
      <w:pPr>
        <w:spacing w:line="560" w:lineRule="exact"/>
        <w:ind w:firstLine="555"/>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因公出国（境）费用。</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万元，与</w:t>
      </w:r>
      <w:r>
        <w:rPr>
          <w:rFonts w:ascii="仿宋_GB2312" w:eastAsia="仿宋_GB2312" w:hint="eastAsia"/>
          <w:sz w:val="32"/>
          <w:szCs w:val="32"/>
        </w:rPr>
        <w:t>2024</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万元持平。</w:t>
      </w:r>
    </w:p>
    <w:p w:rsidR="00561CE1" w:rsidRDefault="008C24A9">
      <w:pPr>
        <w:spacing w:line="560" w:lineRule="exact"/>
        <w:ind w:firstLine="555"/>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公务接待费。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万元，与</w:t>
      </w:r>
      <w:r>
        <w:rPr>
          <w:rFonts w:ascii="仿宋_GB2312" w:eastAsia="仿宋_GB2312" w:hint="eastAsia"/>
          <w:sz w:val="32"/>
          <w:szCs w:val="32"/>
        </w:rPr>
        <w:t>2024</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万元持平。</w:t>
      </w:r>
    </w:p>
    <w:p w:rsidR="00561CE1" w:rsidRDefault="008C24A9">
      <w:pPr>
        <w:spacing w:line="560" w:lineRule="exact"/>
        <w:ind w:firstLine="600"/>
      </w:pPr>
      <w:r>
        <w:rPr>
          <w:rFonts w:ascii="仿宋_GB2312" w:eastAsia="仿宋_GB2312" w:hint="eastAsia"/>
          <w:sz w:val="32"/>
          <w:szCs w:val="32"/>
        </w:rPr>
        <w:t>3.</w:t>
      </w:r>
      <w:r>
        <w:rPr>
          <w:rFonts w:ascii="仿宋_GB2312" w:eastAsia="仿宋_GB2312" w:hint="eastAsia"/>
          <w:sz w:val="32"/>
          <w:szCs w:val="32"/>
        </w:rPr>
        <w:t>公务用车购置和运行维护费。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1.4</w:t>
      </w:r>
      <w:r>
        <w:rPr>
          <w:rFonts w:ascii="仿宋_GB2312" w:eastAsia="仿宋_GB2312" w:hint="eastAsia"/>
          <w:sz w:val="32"/>
          <w:szCs w:val="32"/>
        </w:rPr>
        <w:t>万元，其中，公务用车购置费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万元，与</w:t>
      </w:r>
      <w:r>
        <w:rPr>
          <w:rFonts w:ascii="仿宋_GB2312" w:eastAsia="仿宋_GB2312" w:hint="eastAsia"/>
          <w:sz w:val="32"/>
          <w:szCs w:val="32"/>
        </w:rPr>
        <w:t>2024</w:t>
      </w:r>
      <w:r>
        <w:rPr>
          <w:rFonts w:ascii="仿宋_GB2312" w:eastAsia="仿宋_GB2312" w:hint="eastAsia"/>
          <w:sz w:val="32"/>
          <w:szCs w:val="32"/>
        </w:rPr>
        <w:t>年预算数持平。公务用车运行维护费</w:t>
      </w:r>
      <w:r>
        <w:rPr>
          <w:rFonts w:ascii="仿宋_GB2312" w:eastAsia="仿宋_GB2312" w:hint="eastAsia"/>
          <w:sz w:val="32"/>
          <w:szCs w:val="32"/>
        </w:rPr>
        <w:t>2025</w:t>
      </w:r>
      <w:r>
        <w:rPr>
          <w:rFonts w:ascii="仿宋_GB2312" w:eastAsia="仿宋_GB2312" w:hint="eastAsia"/>
          <w:sz w:val="32"/>
          <w:szCs w:val="32"/>
        </w:rPr>
        <w:t>年预算数</w:t>
      </w:r>
      <w:r>
        <w:rPr>
          <w:rFonts w:ascii="仿宋_GB2312" w:eastAsia="仿宋_GB2312" w:hint="eastAsia"/>
          <w:sz w:val="32"/>
          <w:szCs w:val="32"/>
        </w:rPr>
        <w:t>1.4</w:t>
      </w:r>
      <w:r>
        <w:rPr>
          <w:rFonts w:ascii="仿宋_GB2312" w:eastAsia="仿宋_GB2312" w:hint="eastAsia"/>
          <w:sz w:val="32"/>
          <w:szCs w:val="32"/>
        </w:rPr>
        <w:t>万元，其中：公务用车加油</w:t>
      </w:r>
      <w:r>
        <w:rPr>
          <w:rFonts w:ascii="仿宋_GB2312" w:eastAsia="仿宋_GB2312" w:hint="eastAsia"/>
          <w:sz w:val="32"/>
          <w:szCs w:val="32"/>
        </w:rPr>
        <w:t>0.5</w:t>
      </w:r>
      <w:r>
        <w:rPr>
          <w:rFonts w:ascii="仿宋_GB2312" w:eastAsia="仿宋_GB2312" w:hint="eastAsia"/>
          <w:sz w:val="32"/>
          <w:szCs w:val="32"/>
        </w:rPr>
        <w:t>万元，公务用车维修</w:t>
      </w:r>
      <w:r>
        <w:rPr>
          <w:rFonts w:ascii="仿宋_GB2312" w:eastAsia="仿宋_GB2312" w:hint="eastAsia"/>
          <w:sz w:val="32"/>
          <w:szCs w:val="32"/>
        </w:rPr>
        <w:t>0.3</w:t>
      </w:r>
      <w:r>
        <w:rPr>
          <w:rFonts w:ascii="仿宋_GB2312" w:eastAsia="仿宋_GB2312" w:hint="eastAsia"/>
          <w:sz w:val="32"/>
          <w:szCs w:val="32"/>
        </w:rPr>
        <w:t>万元，公务用车保险</w:t>
      </w:r>
      <w:r>
        <w:rPr>
          <w:rFonts w:ascii="仿宋_GB2312" w:eastAsia="仿宋_GB2312" w:hint="eastAsia"/>
          <w:sz w:val="32"/>
          <w:szCs w:val="32"/>
        </w:rPr>
        <w:t>0.3</w:t>
      </w:r>
      <w:r>
        <w:rPr>
          <w:rFonts w:ascii="仿宋_GB2312" w:eastAsia="仿宋_GB2312" w:hint="eastAsia"/>
          <w:sz w:val="32"/>
          <w:szCs w:val="32"/>
        </w:rPr>
        <w:t>万元，其他</w:t>
      </w:r>
      <w:r>
        <w:rPr>
          <w:rFonts w:ascii="仿宋_GB2312" w:eastAsia="仿宋_GB2312" w:hint="eastAsia"/>
          <w:sz w:val="32"/>
          <w:szCs w:val="32"/>
        </w:rPr>
        <w:t>0.3</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比</w:t>
      </w:r>
      <w:r>
        <w:rPr>
          <w:rFonts w:ascii="仿宋_GB2312" w:eastAsia="仿宋_GB2312" w:hint="eastAsia"/>
          <w:sz w:val="32"/>
          <w:szCs w:val="32"/>
        </w:rPr>
        <w:t>2024</w:t>
      </w:r>
      <w:r>
        <w:rPr>
          <w:rFonts w:ascii="仿宋_GB2312" w:eastAsia="仿宋_GB2312" w:hint="eastAsia"/>
          <w:sz w:val="32"/>
          <w:szCs w:val="32"/>
        </w:rPr>
        <w:t>年预算数</w:t>
      </w:r>
      <w:r>
        <w:rPr>
          <w:rFonts w:ascii="仿宋_GB2312" w:eastAsia="仿宋_GB2312" w:hint="eastAsia"/>
          <w:sz w:val="32"/>
          <w:szCs w:val="32"/>
        </w:rPr>
        <w:t>2.4</w:t>
      </w:r>
      <w:r>
        <w:rPr>
          <w:rFonts w:ascii="仿宋_GB2312" w:eastAsia="仿宋_GB2312" w:hint="eastAsia"/>
          <w:sz w:val="32"/>
          <w:szCs w:val="32"/>
        </w:rPr>
        <w:t>万元减少</w:t>
      </w:r>
      <w:r>
        <w:rPr>
          <w:rFonts w:ascii="仿宋_GB2312" w:eastAsia="仿宋_GB2312" w:hint="eastAsia"/>
          <w:sz w:val="32"/>
          <w:szCs w:val="32"/>
        </w:rPr>
        <w:t>1.0</w:t>
      </w:r>
      <w:r>
        <w:rPr>
          <w:rFonts w:ascii="仿宋_GB2312" w:eastAsia="仿宋_GB2312" w:hint="eastAsia"/>
          <w:sz w:val="32"/>
          <w:szCs w:val="32"/>
        </w:rPr>
        <w:t>万元，主要原因：落实政府“过紧日子”要求，进一步压减一般性支出。</w:t>
      </w:r>
    </w:p>
    <w:p w:rsidR="00561CE1" w:rsidRDefault="008C24A9">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2025</w:t>
      </w:r>
      <w:r>
        <w:rPr>
          <w:rFonts w:ascii="仿宋_GB2312" w:eastAsia="仿宋_GB2312" w:hint="eastAsia"/>
          <w:color w:val="000000"/>
          <w:sz w:val="32"/>
          <w:szCs w:val="32"/>
        </w:rPr>
        <w:t>年北京市统计监测评价中心政府采购预算总额</w:t>
      </w:r>
      <w:r>
        <w:rPr>
          <w:rFonts w:ascii="仿宋_GB2312" w:eastAsia="仿宋_GB2312" w:hint="eastAsia"/>
          <w:color w:val="000000"/>
          <w:sz w:val="32"/>
          <w:szCs w:val="32"/>
        </w:rPr>
        <w:t>2.53</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0</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w:t>
      </w:r>
      <w:r>
        <w:rPr>
          <w:rFonts w:ascii="仿宋_GB2312" w:eastAsia="仿宋_GB2312" w:hint="eastAsia"/>
          <w:color w:val="000000"/>
          <w:sz w:val="32"/>
          <w:szCs w:val="32"/>
        </w:rPr>
        <w:t>万元，政府采购服务预算</w:t>
      </w:r>
      <w:r>
        <w:rPr>
          <w:rFonts w:ascii="仿宋_GB2312" w:eastAsia="仿宋_GB2312" w:hint="eastAsia"/>
          <w:color w:val="000000"/>
          <w:sz w:val="32"/>
          <w:szCs w:val="32"/>
        </w:rPr>
        <w:t>2.53</w:t>
      </w:r>
      <w:r>
        <w:rPr>
          <w:rFonts w:ascii="仿宋_GB2312" w:eastAsia="仿宋_GB2312" w:hint="eastAsia"/>
          <w:color w:val="000000"/>
          <w:sz w:val="32"/>
          <w:szCs w:val="32"/>
        </w:rPr>
        <w:t>万元。</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2025</w:t>
      </w:r>
      <w:r>
        <w:rPr>
          <w:rFonts w:ascii="仿宋_GB2312" w:eastAsia="仿宋_GB2312" w:hint="eastAsia"/>
          <w:sz w:val="32"/>
          <w:szCs w:val="32"/>
        </w:rPr>
        <w:t>年北京市统计监测评价中心政府购买服务预算总额</w:t>
      </w:r>
      <w:r>
        <w:rPr>
          <w:rFonts w:ascii="仿宋_GB2312" w:eastAsia="仿宋_GB2312" w:hint="eastAsia"/>
          <w:sz w:val="32"/>
          <w:szCs w:val="32"/>
        </w:rPr>
        <w:t>0</w:t>
      </w:r>
      <w:r>
        <w:rPr>
          <w:rFonts w:ascii="仿宋_GB2312" w:eastAsia="仿宋_GB2312" w:hint="eastAsia"/>
          <w:sz w:val="32"/>
          <w:szCs w:val="32"/>
        </w:rPr>
        <w:t>万元。</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北京市统计监测评价中心，不是行政单位（含参照公务员法管理事业单位），不在机关运行经费统计范围内。</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2025</w:t>
      </w:r>
      <w:r>
        <w:rPr>
          <w:rFonts w:ascii="仿宋_GB2312" w:eastAsia="仿宋_GB2312" w:hint="eastAsia"/>
          <w:sz w:val="32"/>
          <w:szCs w:val="32"/>
        </w:rPr>
        <w:t>年，北京市统计监测评价中心填报绩效目标的预算项目</w:t>
      </w:r>
      <w:r>
        <w:rPr>
          <w:rFonts w:ascii="仿宋_GB2312" w:eastAsia="仿宋_GB2312" w:hint="eastAsia"/>
          <w:sz w:val="32"/>
          <w:szCs w:val="32"/>
        </w:rPr>
        <w:t>0</w:t>
      </w:r>
      <w:r>
        <w:rPr>
          <w:rFonts w:ascii="仿宋_GB2312" w:eastAsia="仿宋_GB2312" w:hint="eastAsia"/>
          <w:sz w:val="32"/>
          <w:szCs w:val="32"/>
        </w:rPr>
        <w:t>个，占本单位本年预算项目</w:t>
      </w:r>
      <w:r>
        <w:rPr>
          <w:rFonts w:ascii="仿宋_GB2312" w:eastAsia="仿宋_GB2312" w:hint="eastAsia"/>
          <w:sz w:val="32"/>
          <w:szCs w:val="32"/>
        </w:rPr>
        <w:t>0</w:t>
      </w:r>
      <w:r>
        <w:rPr>
          <w:rFonts w:ascii="仿宋_GB2312" w:eastAsia="仿宋_GB2312" w:hint="eastAsia"/>
          <w:sz w:val="32"/>
          <w:szCs w:val="32"/>
        </w:rPr>
        <w:t>个的</w:t>
      </w:r>
      <w:r>
        <w:rPr>
          <w:rFonts w:ascii="仿宋_GB2312" w:eastAsia="仿宋_GB2312" w:hint="eastAsia"/>
          <w:sz w:val="32"/>
          <w:szCs w:val="32"/>
        </w:rPr>
        <w:t>0%</w:t>
      </w:r>
      <w:r>
        <w:rPr>
          <w:rFonts w:ascii="仿宋_GB2312" w:eastAsia="仿宋_GB2312" w:hint="eastAsia"/>
          <w:sz w:val="32"/>
          <w:szCs w:val="32"/>
        </w:rPr>
        <w:t>。填报绩效目标的项目支出预算</w:t>
      </w:r>
      <w:r>
        <w:rPr>
          <w:rFonts w:ascii="仿宋_GB2312" w:eastAsia="仿宋_GB2312" w:hint="eastAsia"/>
          <w:sz w:val="32"/>
          <w:szCs w:val="32"/>
        </w:rPr>
        <w:t>0</w:t>
      </w:r>
      <w:r>
        <w:rPr>
          <w:rFonts w:ascii="仿宋_GB2312" w:eastAsia="仿宋_GB2312" w:hint="eastAsia"/>
          <w:sz w:val="32"/>
          <w:szCs w:val="32"/>
        </w:rPr>
        <w:t>万元，占本单位本年项目支出预算的</w:t>
      </w:r>
      <w:r>
        <w:rPr>
          <w:rFonts w:ascii="仿宋_GB2312" w:eastAsia="仿宋_GB2312" w:hint="eastAsia"/>
          <w:sz w:val="32"/>
          <w:szCs w:val="32"/>
        </w:rPr>
        <w:t>0%</w:t>
      </w:r>
      <w:r>
        <w:rPr>
          <w:rFonts w:ascii="仿宋_GB2312" w:eastAsia="仿宋_GB2312" w:hint="eastAsia"/>
          <w:sz w:val="32"/>
          <w:szCs w:val="32"/>
        </w:rPr>
        <w:t>。</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sz w:val="32"/>
          <w:szCs w:val="32"/>
        </w:rPr>
        <w:t>年无重点行政事业性收费。</w:t>
      </w:r>
    </w:p>
    <w:p w:rsidR="00561CE1" w:rsidRDefault="008C24A9">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w:t>
      </w:r>
      <w:r>
        <w:rPr>
          <w:rFonts w:ascii="仿宋_GB2312" w:eastAsia="仿宋_GB2312" w:hint="eastAsia"/>
          <w:sz w:val="32"/>
          <w:szCs w:val="32"/>
        </w:rPr>
        <w:t>2025</w:t>
      </w:r>
      <w:r>
        <w:rPr>
          <w:rFonts w:ascii="仿宋_GB2312" w:eastAsia="仿宋_GB2312" w:hint="eastAsia"/>
          <w:color w:val="000000"/>
          <w:sz w:val="32"/>
          <w:szCs w:val="32"/>
        </w:rPr>
        <w:t>年无国有资本经营预算财政拨款安排的预算。</w:t>
      </w:r>
    </w:p>
    <w:p w:rsidR="00561CE1" w:rsidRDefault="008C24A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2024</w:t>
      </w:r>
      <w:r>
        <w:rPr>
          <w:rFonts w:ascii="仿宋_GB2312" w:eastAsia="仿宋_GB2312" w:hint="eastAsia"/>
          <w:color w:val="000000"/>
          <w:sz w:val="32"/>
          <w:szCs w:val="32"/>
        </w:rPr>
        <w:t>年底，北京市统计监测评价中心共有车辆</w:t>
      </w:r>
      <w:r>
        <w:rPr>
          <w:rFonts w:ascii="仿宋_GB2312" w:eastAsia="仿宋_GB2312" w:hint="eastAsia"/>
          <w:color w:val="000000"/>
          <w:sz w:val="32"/>
          <w:szCs w:val="32"/>
        </w:rPr>
        <w:t>1</w:t>
      </w:r>
      <w:r>
        <w:rPr>
          <w:rFonts w:ascii="仿宋_GB2312" w:eastAsia="仿宋_GB2312" w:hint="eastAsia"/>
          <w:color w:val="000000"/>
          <w:sz w:val="32"/>
          <w:szCs w:val="32"/>
        </w:rPr>
        <w:t>台，共计</w:t>
      </w:r>
      <w:r>
        <w:rPr>
          <w:rFonts w:ascii="仿宋_GB2312" w:eastAsia="仿宋_GB2312" w:hint="eastAsia"/>
          <w:color w:val="000000"/>
          <w:sz w:val="32"/>
          <w:szCs w:val="32"/>
        </w:rPr>
        <w:t>18.32</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万元以上的设备</w:t>
      </w:r>
      <w:r>
        <w:rPr>
          <w:rFonts w:ascii="仿宋_GB2312" w:eastAsia="仿宋_GB2312" w:hint="eastAsia"/>
          <w:color w:val="000000"/>
          <w:sz w:val="32"/>
          <w:szCs w:val="32"/>
        </w:rPr>
        <w:t>0</w:t>
      </w:r>
      <w:r>
        <w:rPr>
          <w:rFonts w:ascii="仿宋_GB2312" w:eastAsia="仿宋_GB2312" w:hint="eastAsia"/>
          <w:color w:val="000000"/>
          <w:sz w:val="32"/>
          <w:szCs w:val="32"/>
        </w:rPr>
        <w:t>台（套）、共计</w:t>
      </w:r>
      <w:r>
        <w:rPr>
          <w:rFonts w:ascii="仿宋_GB2312" w:eastAsia="仿宋_GB2312" w:hint="eastAsia"/>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sz w:val="32"/>
          <w:szCs w:val="32"/>
        </w:rPr>
        <w:t>2025</w:t>
      </w:r>
      <w:r>
        <w:rPr>
          <w:rFonts w:ascii="仿宋_GB2312" w:eastAsia="仿宋_GB2312" w:hint="eastAsia"/>
          <w:color w:val="000000"/>
          <w:sz w:val="32"/>
          <w:szCs w:val="32"/>
        </w:rPr>
        <w:t>年预算安排中，购置单位价值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万元以上的设备</w:t>
      </w:r>
      <w:r>
        <w:rPr>
          <w:rFonts w:ascii="仿宋_GB2312" w:eastAsia="仿宋_GB2312" w:hint="eastAsia"/>
          <w:color w:val="000000"/>
          <w:sz w:val="32"/>
          <w:szCs w:val="32"/>
        </w:rPr>
        <w:t>0</w:t>
      </w:r>
      <w:r>
        <w:rPr>
          <w:rFonts w:ascii="仿宋_GB2312" w:eastAsia="仿宋_GB2312" w:hint="eastAsia"/>
          <w:color w:val="000000"/>
          <w:sz w:val="32"/>
          <w:szCs w:val="32"/>
        </w:rPr>
        <w:t>台（套），共计</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561CE1" w:rsidRDefault="008C24A9">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w:t>
      </w:r>
      <w:r>
        <w:rPr>
          <w:rFonts w:ascii="仿宋_GB2312" w:eastAsia="仿宋_GB2312" w:hint="eastAsia"/>
          <w:color w:val="000000"/>
          <w:sz w:val="32"/>
          <w:szCs w:val="32"/>
        </w:rPr>
        <w:t>人员支出和公用支出。</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w:t>
      </w:r>
      <w:r>
        <w:rPr>
          <w:rFonts w:ascii="仿宋_GB2312" w:eastAsia="仿宋_GB2312" w:hint="eastAsia"/>
          <w:color w:val="000000"/>
          <w:sz w:val="32"/>
          <w:szCs w:val="32"/>
        </w:rPr>
        <w:lastRenderedPageBreak/>
        <w:t>费、专用材料及一般设备购置费、办公用房水电费、办公用房取暖费、办公用房物业管理费、公务用车运行维护费以及其他费用。</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561CE1" w:rsidRDefault="008C24A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561CE1" w:rsidRDefault="00561CE1">
      <w:pPr>
        <w:spacing w:line="560" w:lineRule="exact"/>
        <w:jc w:val="center"/>
        <w:rPr>
          <w:rFonts w:ascii="方正小标宋简体" w:eastAsia="方正小标宋简体"/>
          <w:color w:val="000000"/>
          <w:sz w:val="36"/>
          <w:szCs w:val="36"/>
        </w:rPr>
      </w:pPr>
    </w:p>
    <w:p w:rsidR="00561CE1" w:rsidRDefault="008C24A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2025</w:t>
      </w:r>
      <w:r>
        <w:rPr>
          <w:rFonts w:ascii="方正小标宋简体" w:eastAsia="方正小标宋简体" w:hint="eastAsia"/>
          <w:color w:val="000000"/>
          <w:sz w:val="36"/>
          <w:szCs w:val="36"/>
        </w:rPr>
        <w:t>年度单位预算报表</w:t>
      </w:r>
    </w:p>
    <w:p w:rsidR="00561CE1" w:rsidRDefault="00561CE1">
      <w:pPr>
        <w:autoSpaceDE w:val="0"/>
        <w:autoSpaceDN w:val="0"/>
        <w:adjustRightInd w:val="0"/>
        <w:spacing w:line="560" w:lineRule="exact"/>
        <w:jc w:val="left"/>
        <w:rPr>
          <w:rFonts w:ascii="方正小标宋简体" w:eastAsia="方正小标宋简体"/>
          <w:color w:val="000000"/>
          <w:sz w:val="36"/>
          <w:szCs w:val="36"/>
        </w:rPr>
      </w:pPr>
    </w:p>
    <w:p w:rsidR="00561CE1" w:rsidRDefault="008C24A9">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附件：北京市统计监测评价中心</w:t>
      </w:r>
      <w:r>
        <w:rPr>
          <w:rFonts w:ascii="仿宋_GB2312" w:eastAsia="仿宋_GB2312" w:hint="eastAsia"/>
          <w:color w:val="000000"/>
          <w:sz w:val="32"/>
          <w:szCs w:val="32"/>
        </w:rPr>
        <w:t>2025</w:t>
      </w:r>
      <w:r>
        <w:rPr>
          <w:rFonts w:ascii="仿宋_GB2312" w:eastAsia="仿宋_GB2312" w:hint="eastAsia"/>
          <w:color w:val="000000"/>
          <w:sz w:val="32"/>
          <w:szCs w:val="32"/>
        </w:rPr>
        <w:t>年度单位预算报表</w:t>
      </w:r>
      <w:r>
        <w:rPr>
          <w:rFonts w:ascii="仿宋_GB2312" w:eastAsia="仿宋_GB2312" w:cs="宋体" w:hint="eastAsia"/>
          <w:color w:val="000000"/>
          <w:kern w:val="0"/>
          <w:sz w:val="32"/>
          <w:szCs w:val="32"/>
          <w:lang w:val="zh-CN"/>
        </w:rPr>
        <w:t xml:space="preserve"> </w:t>
      </w:r>
      <w:bookmarkStart w:id="1" w:name="chaosong"/>
      <w:bookmarkEnd w:id="1"/>
    </w:p>
    <w:sectPr w:rsidR="00561CE1" w:rsidSect="00561CE1">
      <w:footerReference w:type="default" r:id="rId10"/>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4A9" w:rsidRDefault="008C24A9" w:rsidP="00561CE1">
      <w:r>
        <w:separator/>
      </w:r>
    </w:p>
  </w:endnote>
  <w:endnote w:type="continuationSeparator" w:id="1">
    <w:p w:rsidR="008C24A9" w:rsidRDefault="008C24A9" w:rsidP="00561C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CE1" w:rsidRDefault="00561CE1">
    <w:pPr>
      <w:pStyle w:val="a5"/>
      <w:jc w:val="right"/>
      <w:rPr>
        <w:rFonts w:ascii="宋体" w:hAnsi="宋体"/>
        <w:sz w:val="28"/>
        <w:szCs w:val="28"/>
      </w:rPr>
    </w:pPr>
    <w:r w:rsidRPr="00561CE1">
      <w:rPr>
        <w:sz w:val="28"/>
      </w:rPr>
      <w:pict>
        <v:shapetype id="_x0000_t202" coordsize="21600,21600" o:spt="202" path="m,l,21600r21600,l21600,xe">
          <v:stroke joinstyle="miter"/>
          <v:path gradientshapeok="t" o:connecttype="rect"/>
        </v:shapetype>
        <v:shape id="文本框 1" o:spid="_x0000_s4097" type="#_x0000_t202" style="position:absolute;left:0;text-align:left;margin-left:104pt;margin-top:0;width:2in;height:2in;z-index:251659264;mso-wrap-style:none;mso-position-horizontal:outside;mso-position-horizontal-relative:margin" filled="f" stroked="f">
          <v:textbox style="mso-fit-shape-to-text:t" inset="0,0,0,0">
            <w:txbxContent>
              <w:p w:rsidR="00561CE1" w:rsidRDefault="00561CE1">
                <w:pPr>
                  <w:pStyle w:val="a5"/>
                  <w:jc w:val="right"/>
                </w:pPr>
                <w:r>
                  <w:rPr>
                    <w:rFonts w:ascii="宋体" w:hAnsi="宋体"/>
                    <w:sz w:val="28"/>
                    <w:szCs w:val="28"/>
                  </w:rPr>
                  <w:fldChar w:fldCharType="begin"/>
                </w:r>
                <w:r w:rsidR="008C24A9">
                  <w:rPr>
                    <w:rFonts w:ascii="宋体" w:hAnsi="宋体"/>
                    <w:sz w:val="28"/>
                    <w:szCs w:val="28"/>
                  </w:rPr>
                  <w:instrText>PAGE   \* MERGEFORMAT</w:instrText>
                </w:r>
                <w:r>
                  <w:rPr>
                    <w:rFonts w:ascii="宋体" w:hAnsi="宋体"/>
                    <w:sz w:val="28"/>
                    <w:szCs w:val="28"/>
                  </w:rPr>
                  <w:fldChar w:fldCharType="separate"/>
                </w:r>
                <w:r w:rsidR="00EB56E7" w:rsidRPr="00EB56E7">
                  <w:rPr>
                    <w:rFonts w:ascii="宋体" w:hAnsi="宋体"/>
                    <w:noProof/>
                    <w:sz w:val="28"/>
                    <w:szCs w:val="28"/>
                    <w:lang w:val="zh-CN"/>
                  </w:rPr>
                  <w:t>-</w:t>
                </w:r>
                <w:r w:rsidR="00EB56E7">
                  <w:rPr>
                    <w:rFonts w:ascii="宋体" w:hAnsi="宋体"/>
                    <w:noProof/>
                    <w:sz w:val="28"/>
                    <w:szCs w:val="28"/>
                  </w:rPr>
                  <w:t xml:space="preserve"> 4 -</w:t>
                </w:r>
                <w:r>
                  <w:rPr>
                    <w:rFonts w:ascii="宋体" w:hAnsi="宋体"/>
                    <w:sz w:val="28"/>
                    <w:szCs w:val="28"/>
                  </w:rPr>
                  <w:fldChar w:fldCharType="end"/>
                </w:r>
              </w:p>
            </w:txbxContent>
          </v:textbox>
          <w10:wrap anchorx="margin"/>
        </v:shape>
      </w:pict>
    </w:r>
  </w:p>
  <w:p w:rsidR="00561CE1" w:rsidRDefault="00561CE1">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4A9" w:rsidRDefault="008C24A9" w:rsidP="00561CE1">
      <w:r>
        <w:separator/>
      </w:r>
    </w:p>
  </w:footnote>
  <w:footnote w:type="continuationSeparator" w:id="1">
    <w:p w:rsidR="008C24A9" w:rsidRDefault="008C24A9" w:rsidP="00561C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trackRevisions/>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7F79"/>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00022555"/>
    <w:rsid w:val="00051B2B"/>
    <w:rsid w:val="00055E8B"/>
    <w:rsid w:val="000D236F"/>
    <w:rsid w:val="001D646E"/>
    <w:rsid w:val="002301A2"/>
    <w:rsid w:val="00267F07"/>
    <w:rsid w:val="00282EA9"/>
    <w:rsid w:val="0032325C"/>
    <w:rsid w:val="0036287B"/>
    <w:rsid w:val="00366841"/>
    <w:rsid w:val="0038143C"/>
    <w:rsid w:val="003B7EBF"/>
    <w:rsid w:val="003D2D1B"/>
    <w:rsid w:val="0047053D"/>
    <w:rsid w:val="0049116E"/>
    <w:rsid w:val="00496C03"/>
    <w:rsid w:val="00561B04"/>
    <w:rsid w:val="00561CE1"/>
    <w:rsid w:val="00613EB4"/>
    <w:rsid w:val="00680958"/>
    <w:rsid w:val="006F0F46"/>
    <w:rsid w:val="006F3206"/>
    <w:rsid w:val="006F3CD8"/>
    <w:rsid w:val="00717BC5"/>
    <w:rsid w:val="00723D95"/>
    <w:rsid w:val="00743296"/>
    <w:rsid w:val="00797F79"/>
    <w:rsid w:val="007C78FF"/>
    <w:rsid w:val="0080652B"/>
    <w:rsid w:val="0086327C"/>
    <w:rsid w:val="008A2E8D"/>
    <w:rsid w:val="008C1A1E"/>
    <w:rsid w:val="008C24A9"/>
    <w:rsid w:val="009259CC"/>
    <w:rsid w:val="009A07F1"/>
    <w:rsid w:val="009A6A49"/>
    <w:rsid w:val="009E6870"/>
    <w:rsid w:val="009F505C"/>
    <w:rsid w:val="00A03798"/>
    <w:rsid w:val="00AE2FB6"/>
    <w:rsid w:val="00B84CB0"/>
    <w:rsid w:val="00D207BD"/>
    <w:rsid w:val="00D27532"/>
    <w:rsid w:val="00DB6592"/>
    <w:rsid w:val="00E01D91"/>
    <w:rsid w:val="00E172A7"/>
    <w:rsid w:val="00E65D11"/>
    <w:rsid w:val="00EB56E7"/>
    <w:rsid w:val="00F1635E"/>
    <w:rsid w:val="00F6680B"/>
    <w:rsid w:val="01DE318D"/>
    <w:rsid w:val="0B7329D8"/>
    <w:rsid w:val="0EFFF08B"/>
    <w:rsid w:val="11F04B5D"/>
    <w:rsid w:val="1556FFE7"/>
    <w:rsid w:val="1E2F585A"/>
    <w:rsid w:val="1FB9016F"/>
    <w:rsid w:val="1FE6D21C"/>
    <w:rsid w:val="23735A5C"/>
    <w:rsid w:val="25E90563"/>
    <w:rsid w:val="279142F8"/>
    <w:rsid w:val="2B065631"/>
    <w:rsid w:val="2F7EA178"/>
    <w:rsid w:val="2FF31CCC"/>
    <w:rsid w:val="33210C90"/>
    <w:rsid w:val="33BF5DDC"/>
    <w:rsid w:val="34060102"/>
    <w:rsid w:val="352260F8"/>
    <w:rsid w:val="37BFBFEE"/>
    <w:rsid w:val="37FD2E23"/>
    <w:rsid w:val="3AEE7FDD"/>
    <w:rsid w:val="3B1D5808"/>
    <w:rsid w:val="3BFE8EC0"/>
    <w:rsid w:val="3C946C7D"/>
    <w:rsid w:val="3CDF730B"/>
    <w:rsid w:val="3D3B750B"/>
    <w:rsid w:val="3DD14FD1"/>
    <w:rsid w:val="3DFB85D7"/>
    <w:rsid w:val="3DFFFEEB"/>
    <w:rsid w:val="3E578A4D"/>
    <w:rsid w:val="3E7746F2"/>
    <w:rsid w:val="3EAFE38B"/>
    <w:rsid w:val="3EFB023F"/>
    <w:rsid w:val="3F5B7215"/>
    <w:rsid w:val="3F6FC1FB"/>
    <w:rsid w:val="3F730350"/>
    <w:rsid w:val="3F76647A"/>
    <w:rsid w:val="3FBA30DB"/>
    <w:rsid w:val="3FBFE16E"/>
    <w:rsid w:val="3FF7F9C0"/>
    <w:rsid w:val="3FFBC816"/>
    <w:rsid w:val="40880C4C"/>
    <w:rsid w:val="48D44964"/>
    <w:rsid w:val="4CD68066"/>
    <w:rsid w:val="4E67CE40"/>
    <w:rsid w:val="4F6D150F"/>
    <w:rsid w:val="4FEE37C7"/>
    <w:rsid w:val="517E78AA"/>
    <w:rsid w:val="51E8374D"/>
    <w:rsid w:val="531C071E"/>
    <w:rsid w:val="53D1761A"/>
    <w:rsid w:val="53DF3E7F"/>
    <w:rsid w:val="545DF6FA"/>
    <w:rsid w:val="54B85EA8"/>
    <w:rsid w:val="55DE48F6"/>
    <w:rsid w:val="57ADBE82"/>
    <w:rsid w:val="57E332DD"/>
    <w:rsid w:val="57E9CD93"/>
    <w:rsid w:val="57EB425A"/>
    <w:rsid w:val="59D7A30C"/>
    <w:rsid w:val="5BEE7D82"/>
    <w:rsid w:val="5BFC36A8"/>
    <w:rsid w:val="5F5F35ED"/>
    <w:rsid w:val="5FB4B9F0"/>
    <w:rsid w:val="5FB52D64"/>
    <w:rsid w:val="5FD532B6"/>
    <w:rsid w:val="5FE95128"/>
    <w:rsid w:val="5FED63F6"/>
    <w:rsid w:val="5FFFD6B5"/>
    <w:rsid w:val="62B660F2"/>
    <w:rsid w:val="62EE335A"/>
    <w:rsid w:val="67BF653D"/>
    <w:rsid w:val="67FBD21B"/>
    <w:rsid w:val="69CDDFC6"/>
    <w:rsid w:val="6AFBD4E9"/>
    <w:rsid w:val="6BFE087F"/>
    <w:rsid w:val="6BFF83C2"/>
    <w:rsid w:val="6C5F4E7D"/>
    <w:rsid w:val="6D3F2E98"/>
    <w:rsid w:val="6DFE07CC"/>
    <w:rsid w:val="6DFFB2B9"/>
    <w:rsid w:val="6ECB6C3E"/>
    <w:rsid w:val="6F3A9571"/>
    <w:rsid w:val="6F7D6F0F"/>
    <w:rsid w:val="6FCDA027"/>
    <w:rsid w:val="6FDC8289"/>
    <w:rsid w:val="71FF8133"/>
    <w:rsid w:val="729DB731"/>
    <w:rsid w:val="732F9AB6"/>
    <w:rsid w:val="73A5D6F8"/>
    <w:rsid w:val="74FD455A"/>
    <w:rsid w:val="75AD1FE0"/>
    <w:rsid w:val="75D907AF"/>
    <w:rsid w:val="763ED7FC"/>
    <w:rsid w:val="767FBCC8"/>
    <w:rsid w:val="76FE24ED"/>
    <w:rsid w:val="77773C62"/>
    <w:rsid w:val="777F4630"/>
    <w:rsid w:val="77DF7EB6"/>
    <w:rsid w:val="77FABEEF"/>
    <w:rsid w:val="78F52093"/>
    <w:rsid w:val="797F48DA"/>
    <w:rsid w:val="79CFCA19"/>
    <w:rsid w:val="7AE25D03"/>
    <w:rsid w:val="7B2E7344"/>
    <w:rsid w:val="7B503CA9"/>
    <w:rsid w:val="7B5B4466"/>
    <w:rsid w:val="7B8DB0E0"/>
    <w:rsid w:val="7BD7C5D4"/>
    <w:rsid w:val="7BDE2E6D"/>
    <w:rsid w:val="7BFAEA32"/>
    <w:rsid w:val="7C9BB5BA"/>
    <w:rsid w:val="7D629DCE"/>
    <w:rsid w:val="7D7E1C9B"/>
    <w:rsid w:val="7DAF9F6F"/>
    <w:rsid w:val="7DDF7761"/>
    <w:rsid w:val="7DFBA975"/>
    <w:rsid w:val="7E7F7957"/>
    <w:rsid w:val="7EBE6155"/>
    <w:rsid w:val="7F0326EE"/>
    <w:rsid w:val="7F3BE6B0"/>
    <w:rsid w:val="7F3F94D5"/>
    <w:rsid w:val="7F3FC408"/>
    <w:rsid w:val="7F7AD461"/>
    <w:rsid w:val="7F9BB94C"/>
    <w:rsid w:val="7FB5D6F6"/>
    <w:rsid w:val="7FCD88E5"/>
    <w:rsid w:val="7FF59EC3"/>
    <w:rsid w:val="7FF9E7AB"/>
    <w:rsid w:val="7FFA4ACA"/>
    <w:rsid w:val="7FFFFE22"/>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561CE1"/>
    <w:pPr>
      <w:widowControl w:val="0"/>
      <w:jc w:val="both"/>
    </w:pPr>
    <w:rPr>
      <w:rFonts w:ascii="Times New Roman" w:hAnsi="Times New Roman"/>
      <w:kern w:val="2"/>
      <w:sz w:val="21"/>
      <w:szCs w:val="24"/>
    </w:rPr>
  </w:style>
  <w:style w:type="paragraph" w:styleId="2">
    <w:name w:val="heading 2"/>
    <w:basedOn w:val="a"/>
    <w:next w:val="a"/>
    <w:qFormat/>
    <w:rsid w:val="00561CE1"/>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561CE1"/>
    <w:rPr>
      <w:rFonts w:eastAsia="楷体_GB2312"/>
      <w:sz w:val="32"/>
      <w:szCs w:val="20"/>
    </w:rPr>
  </w:style>
  <w:style w:type="paragraph" w:styleId="a4">
    <w:name w:val="Balloon Text"/>
    <w:basedOn w:val="a"/>
    <w:link w:val="Char"/>
    <w:qFormat/>
    <w:rsid w:val="00561CE1"/>
    <w:rPr>
      <w:rFonts w:cs="Times New Roman"/>
      <w:sz w:val="18"/>
      <w:szCs w:val="18"/>
    </w:rPr>
  </w:style>
  <w:style w:type="paragraph" w:styleId="a5">
    <w:name w:val="footer"/>
    <w:basedOn w:val="a"/>
    <w:link w:val="Char0"/>
    <w:uiPriority w:val="99"/>
    <w:qFormat/>
    <w:rsid w:val="00561CE1"/>
    <w:pPr>
      <w:tabs>
        <w:tab w:val="center" w:pos="4153"/>
        <w:tab w:val="right" w:pos="8306"/>
      </w:tabs>
      <w:snapToGrid w:val="0"/>
      <w:jc w:val="left"/>
    </w:pPr>
    <w:rPr>
      <w:rFonts w:cs="Times New Roman"/>
      <w:sz w:val="18"/>
      <w:szCs w:val="20"/>
    </w:rPr>
  </w:style>
  <w:style w:type="paragraph" w:styleId="a6">
    <w:name w:val="header"/>
    <w:basedOn w:val="a"/>
    <w:link w:val="Char1"/>
    <w:qFormat/>
    <w:rsid w:val="00561CE1"/>
    <w:pPr>
      <w:pBdr>
        <w:bottom w:val="single" w:sz="6" w:space="1" w:color="auto"/>
      </w:pBdr>
      <w:tabs>
        <w:tab w:val="center" w:pos="4153"/>
        <w:tab w:val="right" w:pos="8306"/>
      </w:tabs>
      <w:snapToGrid w:val="0"/>
      <w:jc w:val="center"/>
    </w:pPr>
    <w:rPr>
      <w:rFonts w:cs="Times New Roman"/>
      <w:sz w:val="18"/>
      <w:szCs w:val="18"/>
    </w:rPr>
  </w:style>
  <w:style w:type="character" w:styleId="a7">
    <w:name w:val="page number"/>
    <w:qFormat/>
    <w:rsid w:val="00561CE1"/>
  </w:style>
  <w:style w:type="character" w:customStyle="1" w:styleId="Char">
    <w:name w:val="批注框文本 Char"/>
    <w:link w:val="a4"/>
    <w:qFormat/>
    <w:rsid w:val="00561CE1"/>
    <w:rPr>
      <w:rFonts w:ascii="Times New Roman" w:hAnsi="Times New Roman"/>
      <w:kern w:val="2"/>
      <w:sz w:val="18"/>
      <w:szCs w:val="18"/>
    </w:rPr>
  </w:style>
  <w:style w:type="character" w:customStyle="1" w:styleId="Char0">
    <w:name w:val="页脚 Char"/>
    <w:link w:val="a5"/>
    <w:uiPriority w:val="99"/>
    <w:qFormat/>
    <w:rsid w:val="00561CE1"/>
    <w:rPr>
      <w:rFonts w:ascii="Times New Roman" w:hAnsi="Times New Roman"/>
      <w:kern w:val="2"/>
      <w:sz w:val="18"/>
    </w:rPr>
  </w:style>
  <w:style w:type="character" w:customStyle="1" w:styleId="Char1">
    <w:name w:val="页眉 Char"/>
    <w:link w:val="a6"/>
    <w:qFormat/>
    <w:rsid w:val="00561CE1"/>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layout>
        <c:manualLayout>
          <c:xMode val="edge"/>
          <c:yMode val="edge"/>
          <c:x val="0.38317460317460433"/>
          <c:y val="4.3346007604562718E-2"/>
        </c:manualLayout>
      </c:layout>
      <c:spPr>
        <a:noFill/>
        <a:ln>
          <a:noFill/>
        </a:ln>
        <a:effectLst/>
      </c:spPr>
      <c:txPr>
        <a:bodyPr rot="0" spcFirstLastPara="0" vertOverflow="ellipsis" vert="horz" wrap="square" anchor="ctr" anchorCtr="1"/>
        <a:lstStyle/>
        <a:p>
          <a:pPr>
            <a:defRPr lang="zh-CN" sz="1600" b="1" i="0" u="none" strike="noStrike" kern="1200" baseline="0">
              <a:solidFill>
                <a:schemeClr val="tx2"/>
              </a:solidFill>
              <a:latin typeface="+mn-lt"/>
              <a:ea typeface="+mn-ea"/>
              <a:cs typeface="+mn-cs"/>
            </a:defRPr>
          </a:pPr>
          <a:endParaRPr lang="zh-CN"/>
        </a:p>
      </c:txPr>
    </c:title>
    <c:plotArea>
      <c:layout/>
      <c:pieChart>
        <c:varyColors val="1"/>
        <c:ser>
          <c:idx val="0"/>
          <c:order val="0"/>
          <c:tx>
            <c:strRef>
              <c:f>Sheet1!$A$2</c:f>
              <c:strCache>
                <c:ptCount val="1"/>
                <c:pt idx="0">
                  <c:v>收入预算</c:v>
                </c:pt>
              </c:strCache>
            </c:strRef>
          </c:tx>
          <c:dPt>
            <c:idx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Pt>
            <c:idx val="1"/>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Pt>
          <c:dLbls>
            <c:dLbl>
              <c:idx val="0"/>
              <c:tx>
                <c:rich>
                  <a:bodyPr/>
                  <a:lstStyle/>
                  <a:p>
                    <a:r>
                      <a:t>一般公共预算拨款收入</a:t>
                    </a:r>
                    <a:r>
                      <a:rPr lang="en-US" altLang="zh-CN"/>
                      <a:t>99.16%</a:t>
                    </a:r>
                  </a:p>
                  <a:p>
                    <a:endParaRPr/>
                  </a:p>
                </c:rich>
              </c:tx>
              <c:dLblPos val="ctr"/>
              <c:showLegendKey val="1"/>
              <c:showCatName val="1"/>
              <c:showPercent val="1"/>
              <c:separator>
</c:separator>
              <c:extLst>
                <c:ext xmlns:c15="http://schemas.microsoft.com/office/drawing/2012/chart" uri="{CE6537A1-D6FC-4f65-9D91-7224C49458BB}"/>
              </c:extLst>
            </c:dLbl>
            <c:dLbl>
              <c:idx val="1"/>
              <c:tx>
                <c:rich>
                  <a:bodyPr/>
                  <a:lstStyle/>
                  <a:p>
                    <a:r>
                      <a:t>上年结转结余</a:t>
                    </a:r>
                    <a:r>
                      <a:rPr lang="en-US" altLang="zh-CN"/>
                      <a:t>0.84%</a:t>
                    </a:r>
                  </a:p>
                </c:rich>
              </c:tx>
              <c:dLblPos val="ctr"/>
              <c:showLegendKey val="1"/>
              <c:showCatName val="1"/>
              <c:showPercent val="1"/>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endParaRPr lang="zh-CN"/>
              </a:p>
            </c:txPr>
            <c:dLblPos val="ctr"/>
            <c:showLegendKey val="1"/>
            <c:showCatName val="1"/>
            <c:showPercent val="1"/>
            <c:extLst>
              <c:ext xmlns:c15="http://schemas.microsoft.com/office/drawing/2012/chart" uri="{CE6537A1-D6FC-4f65-9D91-7224C49458BB}">
                <c15:layout/>
                <c15:showLeaderLines val="0"/>
                <c15:leaderLines>
                  <c:spPr>
                    <a:ln w="9525" cap="flat" cmpd="sng" algn="ctr">
                      <a:solidFill>
                        <a:schemeClr val="tx2">
                          <a:lumMod val="35000"/>
                          <a:lumOff val="65000"/>
                        </a:schemeClr>
                      </a:solidFill>
                      <a:prstDash val="solid"/>
                      <a:round/>
                    </a:ln>
                    <a:effectLst/>
                  </c:spPr>
                </c15:leaderLines>
              </c:ext>
            </c:extLst>
          </c:dLbls>
          <c:cat>
            <c:strRef>
              <c:f>Sheet1!$B$1:$C$1</c:f>
              <c:strCache>
                <c:ptCount val="2"/>
                <c:pt idx="0">
                  <c:v>一般公共预算拨款收入</c:v>
                </c:pt>
                <c:pt idx="1">
                  <c:v>上年结转结余</c:v>
                </c:pt>
              </c:strCache>
            </c:strRef>
          </c:cat>
          <c:val>
            <c:numRef>
              <c:f>Sheet1!$B$2:$C$2</c:f>
              <c:numCache>
                <c:formatCode>General</c:formatCode>
                <c:ptCount val="2"/>
                <c:pt idx="0">
                  <c:v>554.66</c:v>
                </c:pt>
                <c:pt idx="1">
                  <c:v>4.72</c:v>
                </c:pt>
              </c:numCache>
            </c:numRef>
          </c:val>
        </c:ser>
        <c:dLbls>
          <c:showCatName val="1"/>
          <c:showPercent val="1"/>
        </c:dLbls>
        <c:firstSliceAng val="0"/>
      </c:pieChart>
      <c:spPr>
        <a:noFill/>
        <a:ln>
          <a:noFill/>
        </a:ln>
        <a:effectLst/>
      </c:spPr>
    </c:plotArea>
    <c:legend>
      <c:legendPos val="b"/>
      <c:layout>
        <c:manualLayout>
          <c:xMode val="edge"/>
          <c:yMode val="edge"/>
          <c:x val="0.22531746031746011"/>
          <c:y val="0.88948035487959398"/>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2"/>
              </a:solidFill>
              <a:latin typeface="+mn-lt"/>
              <a:ea typeface="+mn-ea"/>
              <a:cs typeface="+mn-cs"/>
            </a:defRPr>
          </a:pPr>
          <a:endParaRPr lang="zh-CN"/>
        </a:p>
      </c:txPr>
    </c:legend>
    <c:plotVisOnly val="1"/>
    <c:dispBlanksAs val="zero"/>
  </c:chart>
  <c:spPr>
    <a:solidFill>
      <a:schemeClr val="bg1"/>
    </a:solidFill>
    <a:ln w="9525" cap="flat" cmpd="sng" algn="ctr">
      <a:solidFill>
        <a:schemeClr val="tx2">
          <a:lumMod val="15000"/>
          <a:lumOff val="85000"/>
        </a:schemeClr>
      </a:solidFill>
      <a:prstDash val="solid"/>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pieChart>
        <c:varyColors val="1"/>
        <c:ser>
          <c:idx val="0"/>
          <c:order val="0"/>
          <c:tx>
            <c:strRef>
              <c:f>Sheet1!$A$2</c:f>
              <c:strCache>
                <c:ptCount val="1"/>
                <c:pt idx="0">
                  <c:v>2023</c:v>
                </c:pt>
              </c:strCache>
            </c:strRef>
          </c:tx>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ext>
            </c:extLst>
          </c:dLbls>
          <c:cat>
            <c:strRef>
              <c:f>Sheet1!$B$1:$C$1</c:f>
              <c:strCache>
                <c:ptCount val="2"/>
                <c:pt idx="0">
                  <c:v>基本支出</c:v>
                </c:pt>
                <c:pt idx="1">
                  <c:v>项目支出</c:v>
                </c:pt>
              </c:strCache>
            </c:strRef>
          </c:cat>
          <c:val>
            <c:numRef>
              <c:f>Sheet1!$B$2:$C$2</c:f>
              <c:numCache>
                <c:formatCode>General</c:formatCode>
                <c:ptCount val="2"/>
                <c:pt idx="0">
                  <c:v>508.07</c:v>
                </c:pt>
                <c:pt idx="1">
                  <c:v>0</c:v>
                </c:pt>
              </c:numCache>
            </c:numRef>
          </c:val>
        </c:ser>
        <c:dLbls>
          <c:showPercent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391</Words>
  <Characters>2235</Characters>
  <Application>Microsoft Office Word</Application>
  <DocSecurity>0</DocSecurity>
  <Lines>18</Lines>
  <Paragraphs>5</Paragraphs>
  <ScaleCrop>false</ScaleCrop>
  <Company>WwW.YlmF.CoM</Company>
  <LinksUpToDate>false</LinksUpToDate>
  <CharactersWithSpaces>2621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处领导：</dc:title>
  <dc:creator>马荣丽</dc:creator>
  <cp:lastModifiedBy>NTKO</cp:lastModifiedBy>
  <cp:revision>19</cp:revision>
  <cp:lastPrinted>2024-02-23T02:47:00Z</cp:lastPrinted>
  <dcterms:created xsi:type="dcterms:W3CDTF">2024-02-21T02:23:00Z</dcterms:created>
  <dcterms:modified xsi:type="dcterms:W3CDTF">2025-02-10T06:56:00Z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BD18CBCE778FBC28FA28BA6547FDD7CF</vt:lpwstr>
  </property>
</Properties>
</file>